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44B91">
      <w:pPr>
        <w:spacing w:before="1640" w:after="320"/>
        <w:jc w:val="center"/>
      </w:pPr>
      <w:r>
        <w:rPr>
          <w:rFonts w:ascii="Calibri" w:hAnsi="Calibri" w:eastAsia="微软雅黑" w:cs="Calibri"/>
          <w:b/>
          <w:i w:val="0"/>
          <w:color w:val="3E8A52"/>
          <w:sz w:val="20"/>
        </w:rPr>
        <w:t>FIELD WORKBOOK  ·  2026</w:t>
      </w:r>
    </w:p>
    <w:p w14:paraId="7D4C227A">
      <w:pPr>
        <w:spacing w:after="160"/>
        <w:jc w:val="center"/>
      </w:pPr>
      <w:r>
        <w:rPr>
          <w:rFonts w:ascii="Calibri" w:hAnsi="Calibri" w:eastAsia="微软雅黑" w:cs="Calibri"/>
          <w:b/>
          <w:i w:val="0"/>
          <w:color w:val="17324D"/>
          <w:sz w:val="54"/>
        </w:rPr>
        <w:t>Shared Power Bank 90-Day Pilot Validation Scorecard</w:t>
      </w:r>
    </w:p>
    <w:p w14:paraId="66AE46AF">
      <w:pPr>
        <w:spacing w:after="480"/>
        <w:ind w:left="792" w:right="792"/>
        <w:jc w:val="center"/>
      </w:pPr>
      <w:r>
        <w:rPr>
          <w:rFonts w:ascii="Calibri" w:hAnsi="Calibri" w:eastAsia="微软雅黑" w:cs="Calibri"/>
          <w:b w:val="0"/>
          <w:i w:val="0"/>
          <w:color w:val="65727E"/>
          <w:sz w:val="24"/>
        </w:rPr>
        <w:t>A printable, evidence-led workbook for a 30 / 60 / 90-day pilot review.</w:t>
      </w:r>
      <w:r>
        <w:br w:type="textWrapping"/>
      </w:r>
    </w:p>
    <w:p w14:paraId="77A010BF">
      <w:pPr>
        <w:pBdr>
          <w:bottom w:val="single" w:color="81E688" w:sz="12" w:space="4"/>
        </w:pBdr>
        <w:spacing w:after="80"/>
        <w:jc w:val="center"/>
      </w:pPr>
      <w:r>
        <w:rPr>
          <w:rFonts w:ascii="Calibri" w:hAnsi="Calibri" w:eastAsia="微软雅黑" w:cs="Calibri"/>
          <w:b/>
          <w:i w:val="0"/>
          <w:color w:val="3E8A52"/>
          <w:sz w:val="20"/>
        </w:rPr>
        <w:t>RED LINE  →  EVIDENCE  →  WEIGHTED REVIEW  →  HUMAN DECISION</w:t>
      </w:r>
      <w:r>
        <w:br w:type="textWrapping"/>
      </w:r>
      <w:r>
        <w:rPr>
          <w:rFonts w:ascii="Calibri" w:hAnsi="Calibri" w:eastAsia="微软雅黑" w:cs="Calibri"/>
          <w:b/>
          <w:i w:val="0"/>
          <w:color w:val="3E8A52"/>
          <w:sz w:val="19"/>
        </w:rPr>
        <w:t xml:space="preserve">  →    →    →  </w:t>
      </w:r>
    </w:p>
    <w:p w14:paraId="0E20A235">
      <w:pPr>
        <w:spacing w:before="640" w:after="80"/>
        <w:jc w:val="center"/>
      </w:pPr>
      <w:r>
        <w:rPr>
          <w:rFonts w:ascii="Calibri" w:hAnsi="Calibri" w:eastAsia="微软雅黑" w:cs="Calibri"/>
          <w:b/>
          <w:i w:val="0"/>
          <w:color w:val="17324D"/>
          <w:sz w:val="21"/>
        </w:rPr>
        <w:t xml:space="preserve">Bajie Charging  |  Bilingual Edition </w:t>
      </w:r>
    </w:p>
    <w:p w14:paraId="54EE87C3">
      <w:pPr>
        <w:jc w:val="center"/>
      </w:pPr>
      <w:r>
        <w:rPr>
          <w:rFonts w:ascii="Calibri" w:hAnsi="Calibri" w:eastAsia="微软雅黑" w:cs="Calibri"/>
          <w:b w:val="0"/>
          <w:i/>
          <w:color w:val="65727E"/>
          <w:sz w:val="18"/>
        </w:rPr>
        <w:t>Version 1.0  ·  Project-specific targets required before interpretation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6260"/>
      </w:tblGrid>
      <w:tr w14:paraId="261E138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3EB0EC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Control item </w:t>
            </w:r>
          </w:p>
        </w:tc>
        <w:tc>
          <w:tcPr>
            <w:tcW w:w="62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8ABFA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Record </w:t>
            </w:r>
          </w:p>
        </w:tc>
      </w:tr>
      <w:tr w14:paraId="6BA5F8F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6D3900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Version 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215C3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1.0</w:t>
            </w:r>
          </w:p>
        </w:tc>
      </w:tr>
      <w:tr w14:paraId="526F010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4B0E4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Review cycle </w:t>
            </w:r>
          </w:p>
        </w:tc>
        <w:tc>
          <w:tcPr>
            <w:tcW w:w="62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BD8951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Day 30 · Day 60 · Day 90</w:t>
            </w:r>
          </w:p>
        </w:tc>
      </w:tr>
      <w:tr w14:paraId="6A513621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54E67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Project name 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FB99D">
            <w:pPr>
              <w:spacing w:before="0" w:after="0" w:line="259" w:lineRule="auto"/>
              <w:jc w:val="center"/>
            </w:pPr>
          </w:p>
        </w:tc>
      </w:tr>
      <w:tr w14:paraId="3B219C8B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F796D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Document owner </w:t>
            </w:r>
          </w:p>
        </w:tc>
        <w:tc>
          <w:tcPr>
            <w:tcW w:w="62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9BA89">
            <w:pPr>
              <w:spacing w:before="0" w:after="0" w:line="259" w:lineRule="auto"/>
              <w:jc w:val="center"/>
            </w:pPr>
          </w:p>
        </w:tc>
      </w:tr>
    </w:tbl>
    <w:p w14:paraId="6DD5A1CA">
      <w:pPr>
        <w:spacing w:after="20"/>
      </w:pPr>
    </w:p>
    <w:p w14:paraId="436224FC">
      <w:pPr>
        <w:pStyle w:val="4"/>
        <w:keepNext/>
        <w:pageBreakBefore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1. Usage rules and limitations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  </w:t>
      </w:r>
    </w:p>
    <w:p w14:paraId="2EAD43C0">
      <w:pPr>
        <w:pBdr>
          <w:left w:val="single" w:color="81E688" w:sz="14" w:space="6"/>
        </w:pBdr>
        <w:spacing w:after="10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The 50–100-station range is Bajie Charging's planning reference for scale-intended validation, not a universal minimum, purchase requirement or success threshold.</w:t>
      </w:r>
      <w:r>
        <w:rPr>
          <w:rFonts w:ascii="Calibri" w:hAnsi="Calibri" w:eastAsia="微软雅黑" w:cs="Calibri"/>
          <w:b w:val="0"/>
          <w:i w:val="0"/>
          <w:color w:val="3D5366"/>
          <w:sz w:val="17"/>
        </w:rPr>
        <w:br w:type="textWrapping"/>
      </w:r>
    </w:p>
    <w:p w14:paraId="09BDDFA1">
      <w:pPr>
        <w:pBdr>
          <w:left w:val="single" w:color="81E688" w:sz="14" w:space="6"/>
        </w:pBdr>
        <w:spacing w:after="10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Ninety days is a planning and review cycle, not a profitability, ROI or payback promise; a project may approve a different observation period and should explain any extension.</w:t>
      </w:r>
      <w:r>
        <w:rPr>
          <w:rFonts w:ascii="Calibri" w:hAnsi="Calibri" w:eastAsia="微软雅黑" w:cs="Calibri"/>
          <w:b w:val="0"/>
          <w:i w:val="0"/>
          <w:color w:val="3D5366"/>
          <w:sz w:val="17"/>
        </w:rPr>
        <w:br w:type="textWrapping"/>
      </w:r>
    </w:p>
    <w:p w14:paraId="41C642D4">
      <w:pPr>
        <w:pBdr>
          <w:left w:val="single" w:color="81E688" w:sz="14" w:space="6"/>
        </w:pBdr>
        <w:spacing w:after="10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Targets and interpretation bands are project-specific, must be approved before use and cannot override an open red-line blocker; this scorecard defines no public fixed Go cut-off.</w:t>
      </w:r>
      <w:r>
        <w:rPr>
          <w:rFonts w:ascii="Calibri" w:hAnsi="Calibri" w:eastAsia="微软雅黑" w:cs="Calibri"/>
          <w:b w:val="0"/>
          <w:i w:val="0"/>
          <w:color w:val="3D5366"/>
          <w:sz w:val="17"/>
        </w:rPr>
        <w:br w:type="textWrapping"/>
      </w:r>
    </w:p>
    <w:p w14:paraId="47576108">
      <w:pPr>
        <w:pBdr>
          <w:left w:val="single" w:color="81E688" w:sz="14" w:space="6"/>
        </w:pBdr>
        <w:spacing w:after="10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Payment availability depends on country, merchant entity, currency, provider approval and project scope.</w:t>
      </w:r>
      <w:r>
        <w:rPr>
          <w:rFonts w:ascii="Calibri" w:hAnsi="Calibri" w:eastAsia="微软雅黑" w:cs="Calibri"/>
          <w:b w:val="0"/>
          <w:i w:val="0"/>
          <w:color w:val="3D5366"/>
          <w:sz w:val="17"/>
        </w:rPr>
        <w:br w:type="textWrapping"/>
      </w:r>
    </w:p>
    <w:p w14:paraId="7E9F476E">
      <w:pPr>
        <w:pBdr>
          <w:left w:val="single" w:color="81E688" w:sz="14" w:space="6"/>
        </w:pBdr>
        <w:spacing w:after="10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Averages do not replace analysis of distribution, venue role, exceptions and change history; missing evidence must be disclosed rather than estimated or invented.</w:t>
      </w:r>
      <w:r>
        <w:rPr>
          <w:rFonts w:ascii="Calibri" w:hAnsi="Calibri" w:eastAsia="微软雅黑" w:cs="Calibri"/>
          <w:b w:val="0"/>
          <w:i w:val="0"/>
          <w:color w:val="3D5366"/>
          <w:sz w:val="17"/>
        </w:rPr>
        <w:br w:type="textWrapping"/>
      </w:r>
    </w:p>
    <w:p w14:paraId="5BD9D1A5">
      <w:pPr>
        <w:pBdr>
          <w:left w:val="single" w:color="81E688" w:sz="14" w:space="6"/>
        </w:pBdr>
        <w:spacing w:after="10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Calculated completion and weighted scores support review but never automatically declare market success or readiness to scale; management records the final human decision.</w:t>
      </w:r>
      <w:r>
        <w:rPr>
          <w:rFonts w:ascii="Calibri" w:hAnsi="Calibri" w:eastAsia="微软雅黑" w:cs="Calibri"/>
          <w:b w:val="0"/>
          <w:i w:val="0"/>
          <w:color w:val="3D5366"/>
          <w:sz w:val="17"/>
        </w:rPr>
        <w:br w:type="textWrapping"/>
      </w:r>
    </w:p>
    <w:p w14:paraId="27E082B6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2. Pilot Charter and approval block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</w:t>
      </w:r>
    </w:p>
    <w:p w14:paraId="4E62C02A">
      <w:pP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Complete and approve this block before pilot interpretation.</w:t>
      </w:r>
      <w:r>
        <w:rPr>
          <w:rFonts w:ascii="Calibri" w:hAnsi="Calibri" w:eastAsia="微软雅黑" w:cs="Calibri"/>
          <w:b w:val="0"/>
          <w:i w:val="0"/>
          <w:color w:val="3D5366"/>
          <w:sz w:val="18"/>
        </w:rPr>
        <w:br w:type="textWrapping"/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6260"/>
      </w:tblGrid>
      <w:tr w14:paraId="524E4BF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F86203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Charter field </w:t>
            </w:r>
          </w:p>
        </w:tc>
        <w:tc>
          <w:tcPr>
            <w:tcW w:w="62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C62D3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Shared project answer area </w:t>
            </w:r>
          </w:p>
        </w:tc>
      </w:tr>
      <w:tr w14:paraId="22B20F78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C47A3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Business question 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C0C4B">
            <w:pPr>
              <w:spacing w:before="0" w:after="0" w:line="259" w:lineRule="auto"/>
              <w:jc w:val="center"/>
            </w:pPr>
          </w:p>
        </w:tc>
      </w:tr>
      <w:tr w14:paraId="0EA6AE7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446A8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Scope, station range and approved exposure </w:t>
            </w:r>
          </w:p>
        </w:tc>
        <w:tc>
          <w:tcPr>
            <w:tcW w:w="62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FDC22">
            <w:pPr>
              <w:spacing w:before="0" w:after="0" w:line="259" w:lineRule="auto"/>
              <w:jc w:val="center"/>
            </w:pPr>
          </w:p>
        </w:tc>
      </w:tr>
      <w:tr w14:paraId="72A2EB2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3127D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Decision owner and review calendar 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B93D3">
            <w:pPr>
              <w:spacing w:before="0" w:after="0" w:line="259" w:lineRule="auto"/>
              <w:jc w:val="center"/>
            </w:pPr>
          </w:p>
        </w:tc>
      </w:tr>
      <w:tr w14:paraId="6B1FEEB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EE607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Interpretation bands and change control </w:t>
            </w:r>
          </w:p>
        </w:tc>
        <w:tc>
          <w:tcPr>
            <w:tcW w:w="62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E8732">
            <w:pPr>
              <w:spacing w:before="0" w:after="0" w:line="259" w:lineRule="auto"/>
              <w:jc w:val="center"/>
            </w:pPr>
          </w:p>
        </w:tc>
      </w:tr>
      <w:tr w14:paraId="38888FE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63AC7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Approval signatures and dates 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5B191">
            <w:pPr>
              <w:spacing w:before="0" w:after="0" w:line="259" w:lineRule="auto"/>
              <w:jc w:val="center"/>
            </w:pPr>
          </w:p>
        </w:tc>
      </w:tr>
    </w:tbl>
    <w:p w14:paraId="455F9279">
      <w:pPr>
        <w:spacing w:after="20"/>
      </w:pPr>
    </w:p>
    <w:p w14:paraId="60CCF65B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3. Market-readiness and red-line gate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</w:t>
      </w:r>
    </w:p>
    <w:p w14:paraId="66EA4C56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Only a red line explicitly assessed as closed is cleared; a not assessed or open red line makes Go unavailable.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1050"/>
        <w:gridCol w:w="1230"/>
        <w:gridCol w:w="1550"/>
        <w:gridCol w:w="1450"/>
        <w:gridCol w:w="1880"/>
      </w:tblGrid>
      <w:tr w14:paraId="3E11D60C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EFAF3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Red-line blocker</w:t>
            </w:r>
          </w:p>
        </w:tc>
        <w:tc>
          <w:tcPr>
            <w:tcW w:w="10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F70D0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Status </w:t>
            </w:r>
          </w:p>
        </w:tc>
        <w:tc>
          <w:tcPr>
            <w:tcW w:w="123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2B6ED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Impact</w:t>
            </w:r>
          </w:p>
        </w:tc>
        <w:tc>
          <w:tcPr>
            <w:tcW w:w="15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5B778D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Containment </w:t>
            </w:r>
          </w:p>
        </w:tc>
        <w:tc>
          <w:tcPr>
            <w:tcW w:w="14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40C70">
            <w:pPr>
              <w:spacing w:before="0" w:after="0" w:line="259" w:lineRule="auto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Owner · due dat</w:t>
            </w:r>
            <w:r>
              <w:rPr>
                <w:rFonts w:hint="eastAsia" w:cs="Calibri"/>
                <w:b/>
                <w:i w:val="0"/>
                <w:color w:val="17324D"/>
                <w:sz w:val="17"/>
                <w:lang w:val="en-US" w:eastAsia="zh-CN"/>
              </w:rPr>
              <w:t>e</w:t>
            </w:r>
          </w:p>
        </w:tc>
        <w:tc>
          <w:tcPr>
            <w:tcW w:w="18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C86B81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Closure evidence  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Retest result 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Approver </w:t>
            </w:r>
          </w:p>
        </w:tc>
      </w:tr>
      <w:tr w14:paraId="2E79EA3B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ED0391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Uncontrolled safety or regulatory risk 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43B558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Open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3C1135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48737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C37A2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3971D8">
            <w:pPr>
              <w:spacing w:before="0" w:after="0" w:line="259" w:lineRule="auto"/>
              <w:jc w:val="center"/>
            </w:pPr>
          </w:p>
        </w:tc>
      </w:tr>
      <w:tr w14:paraId="01EFA4F0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7A99A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Production payment, collection or settlement responsibility is unclear</w:t>
            </w:r>
          </w:p>
        </w:tc>
        <w:tc>
          <w:tcPr>
            <w:tcW w:w="1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91C5BB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0A87A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1B9C6F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01A0D4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197EC">
            <w:pPr>
              <w:spacing w:before="0" w:after="0" w:line="259" w:lineRule="auto"/>
              <w:jc w:val="center"/>
            </w:pPr>
          </w:p>
        </w:tc>
      </w:tr>
      <w:tr w14:paraId="720D5D1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A8196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Incorrect billing, payment-without-release or refund failure lacks an effective control 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F6405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41076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BC0CE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91236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919A2">
            <w:pPr>
              <w:spacing w:before="0" w:after="0" w:line="259" w:lineRule="auto"/>
              <w:jc w:val="center"/>
            </w:pPr>
          </w:p>
        </w:tc>
      </w:tr>
      <w:tr w14:paraId="771EFA5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88F50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Reconciliation cannot connect orders, payments, releases, returns and refunds </w:t>
            </w:r>
          </w:p>
        </w:tc>
        <w:tc>
          <w:tcPr>
            <w:tcW w:w="1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8B7FC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BB888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21116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9056C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DF69C3">
            <w:pPr>
              <w:spacing w:before="0" w:after="0" w:line="259" w:lineRule="auto"/>
              <w:jc w:val="center"/>
            </w:pPr>
          </w:p>
        </w:tc>
      </w:tr>
      <w:tr w14:paraId="5E24F5C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596A7A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Privacy, access control or sensitive-data exposure is uncontrolled 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02E08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6532C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DF121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1E8C8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D76B07">
            <w:pPr>
              <w:spacing w:before="0" w:after="0" w:line="259" w:lineRule="auto"/>
              <w:jc w:val="center"/>
            </w:pPr>
          </w:p>
        </w:tc>
      </w:tr>
      <w:tr w14:paraId="74DDEFD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8AAF0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Required venue permission or operating authorization is missing </w:t>
            </w:r>
          </w:p>
        </w:tc>
        <w:tc>
          <w:tcPr>
            <w:tcW w:w="1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23749E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E79FD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9C5DC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C642B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0F972">
            <w:pPr>
              <w:spacing w:before="0" w:after="0" w:line="259" w:lineRule="auto"/>
              <w:jc w:val="center"/>
            </w:pPr>
          </w:p>
        </w:tc>
      </w:tr>
      <w:tr w14:paraId="513C55C2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19EF8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Critical source data is unavailable, materially incomplete or not auditable 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F8F6A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BCDF0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04CCC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1BE4A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38E3C4">
            <w:pPr>
              <w:spacing w:before="0" w:after="0" w:line="259" w:lineRule="auto"/>
              <w:jc w:val="center"/>
            </w:pPr>
          </w:p>
        </w:tc>
      </w:tr>
      <w:tr w14:paraId="51A65D5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AF9B01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A critical device, software or payment failure repeats after corrective action </w:t>
            </w:r>
          </w:p>
        </w:tc>
        <w:tc>
          <w:tcPr>
            <w:tcW w:w="1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0D8DE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23C1F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11084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FF18D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FF384A">
            <w:pPr>
              <w:spacing w:before="0" w:after="0" w:line="259" w:lineRule="auto"/>
              <w:jc w:val="center"/>
            </w:pPr>
          </w:p>
        </w:tc>
      </w:tr>
      <w:tr w14:paraId="777D230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7EE09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A material incident has no accountable owner or escalation route 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5EE96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E23C5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78D09D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26866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9104E">
            <w:pPr>
              <w:spacing w:before="0" w:after="0" w:line="259" w:lineRule="auto"/>
              <w:jc w:val="center"/>
            </w:pPr>
          </w:p>
        </w:tc>
      </w:tr>
      <w:tr w14:paraId="14D5A7C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ED4F3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The pilot exceeds its approved budget, station scope or risk exposure without authorization </w:t>
            </w:r>
          </w:p>
        </w:tc>
        <w:tc>
          <w:tcPr>
            <w:tcW w:w="1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C14E40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Not assessed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Open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Closed </w:t>
            </w:r>
          </w:p>
        </w:tc>
        <w:tc>
          <w:tcPr>
            <w:tcW w:w="123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00248">
            <w:pPr>
              <w:spacing w:before="0" w:after="0" w:line="259" w:lineRule="auto"/>
              <w:jc w:val="left"/>
            </w:pPr>
          </w:p>
        </w:tc>
        <w:tc>
          <w:tcPr>
            <w:tcW w:w="15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AA968">
            <w:pPr>
              <w:spacing w:before="0" w:after="0" w:line="259" w:lineRule="auto"/>
              <w:jc w:val="left"/>
            </w:pPr>
          </w:p>
        </w:tc>
        <w:tc>
          <w:tcPr>
            <w:tcW w:w="14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881F44">
            <w:pPr>
              <w:spacing w:before="0" w:after="0" w:line="259" w:lineRule="auto"/>
              <w:jc w:val="left"/>
            </w:pPr>
          </w:p>
        </w:tc>
        <w:tc>
          <w:tcPr>
            <w:tcW w:w="18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DCC72">
            <w:pPr>
              <w:spacing w:before="0" w:after="0" w:line="259" w:lineRule="auto"/>
              <w:jc w:val="center"/>
            </w:pPr>
          </w:p>
        </w:tc>
      </w:tr>
    </w:tbl>
    <w:p w14:paraId="6770EEEE">
      <w:pPr>
        <w:spacing w:after="20"/>
      </w:pPr>
    </w:p>
    <w:p w14:paraId="0616DBA9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4. Deployment register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 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780"/>
        <w:gridCol w:w="1500"/>
        <w:gridCol w:w="1520"/>
        <w:gridCol w:w="2140"/>
      </w:tblGrid>
      <w:tr w14:paraId="5679A662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42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96306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Station </w:t>
            </w:r>
          </w:p>
        </w:tc>
        <w:tc>
          <w:tcPr>
            <w:tcW w:w="27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45642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Venue and role 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BE7B0F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Go-live date </w:t>
            </w:r>
          </w:p>
        </w:tc>
        <w:tc>
          <w:tcPr>
            <w:tcW w:w="152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C9953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Owner </w:t>
            </w:r>
          </w:p>
        </w:tc>
        <w:tc>
          <w:tcPr>
            <w:tcW w:w="21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D20BE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Exceptions </w:t>
            </w:r>
          </w:p>
        </w:tc>
      </w:tr>
      <w:tr w14:paraId="20AEBF41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B48DA">
            <w:pPr>
              <w:spacing w:before="0" w:after="0" w:line="259" w:lineRule="auto"/>
              <w:jc w:val="left"/>
            </w:pPr>
          </w:p>
        </w:tc>
        <w:tc>
          <w:tcPr>
            <w:tcW w:w="27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E94ED">
            <w:pPr>
              <w:spacing w:before="0" w:after="0" w:line="259" w:lineRule="auto"/>
              <w:jc w:val="left"/>
            </w:pP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3CC9D">
            <w:pPr>
              <w:spacing w:before="0" w:after="0" w:line="259" w:lineRule="auto"/>
              <w:jc w:val="left"/>
            </w:pPr>
          </w:p>
        </w:tc>
        <w:tc>
          <w:tcPr>
            <w:tcW w:w="1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531F1">
            <w:pPr>
              <w:spacing w:before="0" w:after="0" w:line="259" w:lineRule="auto"/>
              <w:jc w:val="left"/>
            </w:pPr>
          </w:p>
        </w:tc>
        <w:tc>
          <w:tcPr>
            <w:tcW w:w="2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5FCF3D">
            <w:pPr>
              <w:spacing w:before="0" w:after="0" w:line="259" w:lineRule="auto"/>
              <w:jc w:val="center"/>
            </w:pPr>
          </w:p>
        </w:tc>
      </w:tr>
      <w:tr w14:paraId="20221DA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E69B8">
            <w:pPr>
              <w:spacing w:before="0" w:after="0" w:line="259" w:lineRule="auto"/>
              <w:jc w:val="left"/>
            </w:pPr>
          </w:p>
        </w:tc>
        <w:tc>
          <w:tcPr>
            <w:tcW w:w="27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C685C">
            <w:pPr>
              <w:spacing w:before="0" w:after="0" w:line="259" w:lineRule="auto"/>
              <w:jc w:val="left"/>
            </w:pPr>
          </w:p>
        </w:tc>
        <w:tc>
          <w:tcPr>
            <w:tcW w:w="15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57928">
            <w:pPr>
              <w:spacing w:before="0" w:after="0" w:line="259" w:lineRule="auto"/>
              <w:jc w:val="left"/>
            </w:pPr>
          </w:p>
        </w:tc>
        <w:tc>
          <w:tcPr>
            <w:tcW w:w="15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305CB7">
            <w:pPr>
              <w:spacing w:before="0" w:after="0" w:line="259" w:lineRule="auto"/>
              <w:jc w:val="left"/>
            </w:pPr>
          </w:p>
        </w:tc>
        <w:tc>
          <w:tcPr>
            <w:tcW w:w="2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FE530">
            <w:pPr>
              <w:spacing w:before="0" w:after="0" w:line="259" w:lineRule="auto"/>
              <w:jc w:val="center"/>
            </w:pPr>
          </w:p>
        </w:tc>
      </w:tr>
      <w:tr w14:paraId="044EC79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4A5C4">
            <w:pPr>
              <w:spacing w:before="0" w:after="0" w:line="259" w:lineRule="auto"/>
              <w:jc w:val="left"/>
            </w:pPr>
          </w:p>
        </w:tc>
        <w:tc>
          <w:tcPr>
            <w:tcW w:w="27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C8D93">
            <w:pPr>
              <w:spacing w:before="0" w:after="0" w:line="259" w:lineRule="auto"/>
              <w:jc w:val="left"/>
            </w:pP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312916">
            <w:pPr>
              <w:spacing w:before="0" w:after="0" w:line="259" w:lineRule="auto"/>
              <w:jc w:val="left"/>
            </w:pPr>
          </w:p>
        </w:tc>
        <w:tc>
          <w:tcPr>
            <w:tcW w:w="1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A1C19">
            <w:pPr>
              <w:spacing w:before="0" w:after="0" w:line="259" w:lineRule="auto"/>
              <w:jc w:val="left"/>
            </w:pPr>
          </w:p>
        </w:tc>
        <w:tc>
          <w:tcPr>
            <w:tcW w:w="2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DD1A0">
            <w:pPr>
              <w:spacing w:before="0" w:after="0" w:line="259" w:lineRule="auto"/>
              <w:jc w:val="center"/>
            </w:pPr>
          </w:p>
        </w:tc>
      </w:tr>
      <w:tr w14:paraId="4B59A61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898A94">
            <w:pPr>
              <w:spacing w:before="0" w:after="0" w:line="259" w:lineRule="auto"/>
              <w:jc w:val="left"/>
            </w:pPr>
          </w:p>
        </w:tc>
        <w:tc>
          <w:tcPr>
            <w:tcW w:w="27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25AA0">
            <w:pPr>
              <w:spacing w:before="0" w:after="0" w:line="259" w:lineRule="auto"/>
              <w:jc w:val="left"/>
            </w:pPr>
          </w:p>
        </w:tc>
        <w:tc>
          <w:tcPr>
            <w:tcW w:w="15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B1FD4">
            <w:pPr>
              <w:spacing w:before="0" w:after="0" w:line="259" w:lineRule="auto"/>
              <w:jc w:val="left"/>
            </w:pPr>
          </w:p>
        </w:tc>
        <w:tc>
          <w:tcPr>
            <w:tcW w:w="15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12C55">
            <w:pPr>
              <w:spacing w:before="0" w:after="0" w:line="259" w:lineRule="auto"/>
              <w:jc w:val="left"/>
            </w:pPr>
          </w:p>
        </w:tc>
        <w:tc>
          <w:tcPr>
            <w:tcW w:w="2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98C9A8">
            <w:pPr>
              <w:spacing w:before="0" w:after="0" w:line="259" w:lineRule="auto"/>
              <w:jc w:val="center"/>
            </w:pPr>
          </w:p>
        </w:tc>
      </w:tr>
      <w:tr w14:paraId="0F9138E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F0363">
            <w:pPr>
              <w:spacing w:before="0" w:after="0" w:line="259" w:lineRule="auto"/>
              <w:jc w:val="left"/>
            </w:pPr>
          </w:p>
        </w:tc>
        <w:tc>
          <w:tcPr>
            <w:tcW w:w="27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94ABC">
            <w:pPr>
              <w:spacing w:before="0" w:after="0" w:line="259" w:lineRule="auto"/>
              <w:jc w:val="left"/>
            </w:pP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BA944">
            <w:pPr>
              <w:spacing w:before="0" w:after="0" w:line="259" w:lineRule="auto"/>
              <w:jc w:val="left"/>
            </w:pPr>
          </w:p>
        </w:tc>
        <w:tc>
          <w:tcPr>
            <w:tcW w:w="1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F59C9C">
            <w:pPr>
              <w:spacing w:before="0" w:after="0" w:line="259" w:lineRule="auto"/>
              <w:jc w:val="left"/>
            </w:pPr>
          </w:p>
        </w:tc>
        <w:tc>
          <w:tcPr>
            <w:tcW w:w="2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5F567D">
            <w:pPr>
              <w:spacing w:before="0" w:after="0" w:line="259" w:lineRule="auto"/>
              <w:jc w:val="center"/>
            </w:pPr>
          </w:p>
        </w:tc>
      </w:tr>
      <w:tr w14:paraId="57522D62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1D189">
            <w:pPr>
              <w:spacing w:before="0" w:after="0" w:line="259" w:lineRule="auto"/>
              <w:jc w:val="left"/>
            </w:pPr>
          </w:p>
        </w:tc>
        <w:tc>
          <w:tcPr>
            <w:tcW w:w="27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D19D1">
            <w:pPr>
              <w:spacing w:before="0" w:after="0" w:line="259" w:lineRule="auto"/>
              <w:jc w:val="left"/>
            </w:pPr>
          </w:p>
        </w:tc>
        <w:tc>
          <w:tcPr>
            <w:tcW w:w="15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C43AD7">
            <w:pPr>
              <w:spacing w:before="0" w:after="0" w:line="259" w:lineRule="auto"/>
              <w:jc w:val="left"/>
            </w:pPr>
          </w:p>
        </w:tc>
        <w:tc>
          <w:tcPr>
            <w:tcW w:w="15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81013">
            <w:pPr>
              <w:spacing w:before="0" w:after="0" w:line="259" w:lineRule="auto"/>
              <w:jc w:val="left"/>
            </w:pPr>
          </w:p>
        </w:tc>
        <w:tc>
          <w:tcPr>
            <w:tcW w:w="2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28BF8">
            <w:pPr>
              <w:spacing w:before="0" w:after="0" w:line="259" w:lineRule="auto"/>
              <w:jc w:val="center"/>
            </w:pPr>
          </w:p>
        </w:tc>
      </w:tr>
      <w:tr w14:paraId="5A6FF04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A28D3">
            <w:pPr>
              <w:spacing w:before="0" w:after="0" w:line="259" w:lineRule="auto"/>
              <w:jc w:val="left"/>
            </w:pPr>
          </w:p>
        </w:tc>
        <w:tc>
          <w:tcPr>
            <w:tcW w:w="27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C6DBF">
            <w:pPr>
              <w:spacing w:before="0" w:after="0" w:line="259" w:lineRule="auto"/>
              <w:jc w:val="left"/>
            </w:pP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1CE6BF">
            <w:pPr>
              <w:spacing w:before="0" w:after="0" w:line="259" w:lineRule="auto"/>
              <w:jc w:val="left"/>
            </w:pPr>
          </w:p>
        </w:tc>
        <w:tc>
          <w:tcPr>
            <w:tcW w:w="1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EAD475">
            <w:pPr>
              <w:spacing w:before="0" w:after="0" w:line="259" w:lineRule="auto"/>
              <w:jc w:val="left"/>
            </w:pPr>
          </w:p>
        </w:tc>
        <w:tc>
          <w:tcPr>
            <w:tcW w:w="2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A9156">
            <w:pPr>
              <w:spacing w:before="0" w:after="0" w:line="259" w:lineRule="auto"/>
              <w:jc w:val="center"/>
            </w:pPr>
          </w:p>
        </w:tc>
      </w:tr>
      <w:tr w14:paraId="1A9D0D18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41987">
            <w:pPr>
              <w:spacing w:before="0" w:after="0" w:line="259" w:lineRule="auto"/>
              <w:jc w:val="left"/>
            </w:pPr>
          </w:p>
        </w:tc>
        <w:tc>
          <w:tcPr>
            <w:tcW w:w="27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8AE2C">
            <w:pPr>
              <w:spacing w:before="0" w:after="0" w:line="259" w:lineRule="auto"/>
              <w:jc w:val="left"/>
            </w:pPr>
          </w:p>
        </w:tc>
        <w:tc>
          <w:tcPr>
            <w:tcW w:w="15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B6107F">
            <w:pPr>
              <w:spacing w:before="0" w:after="0" w:line="259" w:lineRule="auto"/>
              <w:jc w:val="left"/>
            </w:pPr>
          </w:p>
        </w:tc>
        <w:tc>
          <w:tcPr>
            <w:tcW w:w="15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53DFA">
            <w:pPr>
              <w:spacing w:before="0" w:after="0" w:line="259" w:lineRule="auto"/>
              <w:jc w:val="left"/>
            </w:pPr>
          </w:p>
        </w:tc>
        <w:tc>
          <w:tcPr>
            <w:tcW w:w="2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5CFB3">
            <w:pPr>
              <w:spacing w:before="0" w:after="0" w:line="259" w:lineRule="auto"/>
              <w:jc w:val="center"/>
            </w:pPr>
          </w:p>
        </w:tc>
      </w:tr>
    </w:tbl>
    <w:p w14:paraId="146701F8">
      <w:pPr>
        <w:spacing w:after="20"/>
      </w:pPr>
    </w:p>
    <w:p w14:paraId="06C58058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5. Go-live acceptance checklist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 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3350"/>
        <w:gridCol w:w="1300"/>
        <w:gridCol w:w="1660"/>
      </w:tblGrid>
      <w:tr w14:paraId="653C4E48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0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159CE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Acceptance item </w:t>
            </w:r>
          </w:p>
        </w:tc>
        <w:tc>
          <w:tcPr>
            <w:tcW w:w="33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5E2F2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Evidence and result </w:t>
            </w:r>
          </w:p>
        </w:tc>
        <w:tc>
          <w:tcPr>
            <w:tcW w:w="13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8A507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Owner </w:t>
            </w:r>
          </w:p>
        </w:tc>
        <w:tc>
          <w:tcPr>
            <w:tcW w:w="16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EC9BAF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Status </w:t>
            </w:r>
          </w:p>
        </w:tc>
      </w:tr>
      <w:tr w14:paraId="69426A4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E4B51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Venue authorization and physical safety </w:t>
            </w:r>
          </w:p>
        </w:tc>
        <w:tc>
          <w:tcPr>
            <w:tcW w:w="3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B581B">
            <w:pPr>
              <w:spacing w:before="0" w:after="0" w:line="259" w:lineRule="auto"/>
              <w:jc w:val="left"/>
            </w:pP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1CE9C">
            <w:pPr>
              <w:spacing w:before="0" w:after="0" w:line="259" w:lineRule="auto"/>
              <w:jc w:val="left"/>
            </w:pPr>
          </w:p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DC8766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Pass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Conditional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Blocked</w:t>
            </w:r>
          </w:p>
        </w:tc>
      </w:tr>
      <w:tr w14:paraId="5B86696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2E9597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Payment, release and refund controls </w:t>
            </w:r>
          </w:p>
        </w:tc>
        <w:tc>
          <w:tcPr>
            <w:tcW w:w="33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8F97E2">
            <w:pPr>
              <w:spacing w:before="0" w:after="0" w:line="259" w:lineRule="auto"/>
              <w:jc w:val="left"/>
            </w:pPr>
          </w:p>
        </w:tc>
        <w:tc>
          <w:tcPr>
            <w:tcW w:w="13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DE67A">
            <w:pPr>
              <w:spacing w:before="0" w:after="0" w:line="259" w:lineRule="auto"/>
              <w:jc w:val="left"/>
            </w:pPr>
          </w:p>
        </w:tc>
        <w:tc>
          <w:tcPr>
            <w:tcW w:w="1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5E6F3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Pass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Conditional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Blocked</w:t>
            </w:r>
          </w:p>
        </w:tc>
      </w:tr>
      <w:tr w14:paraId="0271416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6F9E6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Connectivity, fleet state and monitoring </w:t>
            </w:r>
          </w:p>
        </w:tc>
        <w:tc>
          <w:tcPr>
            <w:tcW w:w="3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1A0DCF">
            <w:pPr>
              <w:spacing w:before="0" w:after="0" w:line="259" w:lineRule="auto"/>
              <w:jc w:val="left"/>
            </w:pP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CA206">
            <w:pPr>
              <w:spacing w:before="0" w:after="0" w:line="259" w:lineRule="auto"/>
              <w:jc w:val="left"/>
            </w:pPr>
          </w:p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DC374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Pass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Conditional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Blocked</w:t>
            </w:r>
          </w:p>
        </w:tc>
      </w:tr>
      <w:tr w14:paraId="0EEDD36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8A75A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Data access, privacy and reconciliation </w:t>
            </w:r>
          </w:p>
        </w:tc>
        <w:tc>
          <w:tcPr>
            <w:tcW w:w="33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FBB38">
            <w:pPr>
              <w:spacing w:before="0" w:after="0" w:line="259" w:lineRule="auto"/>
              <w:jc w:val="left"/>
            </w:pPr>
          </w:p>
        </w:tc>
        <w:tc>
          <w:tcPr>
            <w:tcW w:w="13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B67A4">
            <w:pPr>
              <w:spacing w:before="0" w:after="0" w:line="259" w:lineRule="auto"/>
              <w:jc w:val="left"/>
            </w:pPr>
          </w:p>
        </w:tc>
        <w:tc>
          <w:tcPr>
            <w:tcW w:w="16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D9B7C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Pass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Conditional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Blocked</w:t>
            </w:r>
          </w:p>
        </w:tc>
      </w:tr>
      <w:tr w14:paraId="75C0523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43CCC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Support, incident and escalation route </w:t>
            </w:r>
          </w:p>
        </w:tc>
        <w:tc>
          <w:tcPr>
            <w:tcW w:w="3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857EE2">
            <w:pPr>
              <w:spacing w:before="0" w:after="0" w:line="259" w:lineRule="auto"/>
              <w:jc w:val="left"/>
            </w:pP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694B5">
            <w:pPr>
              <w:spacing w:before="0" w:after="0" w:line="259" w:lineRule="auto"/>
              <w:jc w:val="left"/>
            </w:pPr>
          </w:p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CC9D7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Pass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Conditional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Blocked</w:t>
            </w:r>
          </w:p>
        </w:tc>
      </w:tr>
    </w:tbl>
    <w:p w14:paraId="074967FE">
      <w:pPr>
        <w:spacing w:after="20"/>
      </w:pPr>
    </w:p>
    <w:p w14:paraId="4422B117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6. KPI dictionary and evidence-definition sheet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 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850"/>
        <w:gridCol w:w="3050"/>
        <w:gridCol w:w="1760"/>
      </w:tblGrid>
      <w:tr w14:paraId="54E9EF8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7986F0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KPI </w:t>
            </w:r>
          </w:p>
        </w:tc>
        <w:tc>
          <w:tcPr>
            <w:tcW w:w="28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F97560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Definition and formula </w:t>
            </w:r>
          </w:p>
        </w:tc>
        <w:tc>
          <w:tcPr>
            <w:tcW w:w="30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C4B08D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Source, rules and time basis </w:t>
            </w:r>
          </w:p>
        </w:tc>
        <w:tc>
          <w:tcPr>
            <w:tcW w:w="17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27671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Owner </w:t>
            </w:r>
          </w:p>
        </w:tc>
      </w:tr>
      <w:tr w14:paraId="5D1CAF1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99A69">
            <w:pPr>
              <w:spacing w:before="0" w:after="0" w:line="259" w:lineRule="auto"/>
              <w:jc w:val="left"/>
            </w:pP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040C57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E8BE1">
            <w:pPr>
              <w:spacing w:before="0" w:after="0" w:line="259" w:lineRule="auto"/>
              <w:jc w:val="left"/>
            </w:pPr>
          </w:p>
        </w:tc>
        <w:tc>
          <w:tcPr>
            <w:tcW w:w="1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B472A">
            <w:pPr>
              <w:spacing w:before="0" w:after="0" w:line="259" w:lineRule="auto"/>
              <w:jc w:val="center"/>
            </w:pPr>
          </w:p>
        </w:tc>
      </w:tr>
      <w:tr w14:paraId="3610541B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941C6">
            <w:pPr>
              <w:spacing w:before="0" w:after="0" w:line="259" w:lineRule="auto"/>
              <w:jc w:val="left"/>
            </w:pPr>
          </w:p>
        </w:tc>
        <w:tc>
          <w:tcPr>
            <w:tcW w:w="2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99723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C654A">
            <w:pPr>
              <w:spacing w:before="0" w:after="0" w:line="259" w:lineRule="auto"/>
              <w:jc w:val="left"/>
            </w:pPr>
          </w:p>
        </w:tc>
        <w:tc>
          <w:tcPr>
            <w:tcW w:w="17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F06A25">
            <w:pPr>
              <w:spacing w:before="0" w:after="0" w:line="259" w:lineRule="auto"/>
              <w:jc w:val="center"/>
            </w:pPr>
          </w:p>
        </w:tc>
      </w:tr>
      <w:tr w14:paraId="68EDABE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A77F6">
            <w:pPr>
              <w:spacing w:before="0" w:after="0" w:line="259" w:lineRule="auto"/>
              <w:jc w:val="left"/>
            </w:pP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07AAE1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4170A">
            <w:pPr>
              <w:spacing w:before="0" w:after="0" w:line="259" w:lineRule="auto"/>
              <w:jc w:val="left"/>
            </w:pPr>
          </w:p>
        </w:tc>
        <w:tc>
          <w:tcPr>
            <w:tcW w:w="1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B24C3">
            <w:pPr>
              <w:spacing w:before="0" w:after="0" w:line="259" w:lineRule="auto"/>
              <w:jc w:val="center"/>
            </w:pPr>
          </w:p>
        </w:tc>
      </w:tr>
      <w:tr w14:paraId="0607A070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454B7">
            <w:pPr>
              <w:spacing w:before="0" w:after="0" w:line="259" w:lineRule="auto"/>
              <w:jc w:val="left"/>
            </w:pPr>
          </w:p>
        </w:tc>
        <w:tc>
          <w:tcPr>
            <w:tcW w:w="2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CE8482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E6A73">
            <w:pPr>
              <w:spacing w:before="0" w:after="0" w:line="259" w:lineRule="auto"/>
              <w:jc w:val="left"/>
            </w:pPr>
          </w:p>
        </w:tc>
        <w:tc>
          <w:tcPr>
            <w:tcW w:w="17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7C6065">
            <w:pPr>
              <w:spacing w:before="0" w:after="0" w:line="259" w:lineRule="auto"/>
              <w:jc w:val="center"/>
            </w:pPr>
          </w:p>
        </w:tc>
      </w:tr>
      <w:tr w14:paraId="34661CB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BB50D">
            <w:pPr>
              <w:spacing w:before="0" w:after="0" w:line="259" w:lineRule="auto"/>
              <w:jc w:val="left"/>
            </w:pP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64A81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7A592">
            <w:pPr>
              <w:spacing w:before="0" w:after="0" w:line="259" w:lineRule="auto"/>
              <w:jc w:val="left"/>
            </w:pPr>
          </w:p>
        </w:tc>
        <w:tc>
          <w:tcPr>
            <w:tcW w:w="1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48307">
            <w:pPr>
              <w:spacing w:before="0" w:after="0" w:line="259" w:lineRule="auto"/>
              <w:jc w:val="center"/>
            </w:pPr>
          </w:p>
        </w:tc>
      </w:tr>
      <w:tr w14:paraId="0DB56FC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7600C">
            <w:pPr>
              <w:spacing w:before="0" w:after="0" w:line="259" w:lineRule="auto"/>
              <w:jc w:val="left"/>
            </w:pPr>
          </w:p>
        </w:tc>
        <w:tc>
          <w:tcPr>
            <w:tcW w:w="2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553C95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CD351">
            <w:pPr>
              <w:spacing w:before="0" w:after="0" w:line="259" w:lineRule="auto"/>
              <w:jc w:val="left"/>
            </w:pPr>
          </w:p>
        </w:tc>
        <w:tc>
          <w:tcPr>
            <w:tcW w:w="17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6823E">
            <w:pPr>
              <w:spacing w:before="0" w:after="0" w:line="259" w:lineRule="auto"/>
              <w:jc w:val="center"/>
            </w:pPr>
          </w:p>
        </w:tc>
      </w:tr>
      <w:tr w14:paraId="5842E6D8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19A492">
            <w:pPr>
              <w:spacing w:before="0" w:after="0" w:line="259" w:lineRule="auto"/>
              <w:jc w:val="left"/>
            </w:pP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D756E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495A0">
            <w:pPr>
              <w:spacing w:before="0" w:after="0" w:line="259" w:lineRule="auto"/>
              <w:jc w:val="left"/>
            </w:pPr>
          </w:p>
        </w:tc>
        <w:tc>
          <w:tcPr>
            <w:tcW w:w="1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3246D">
            <w:pPr>
              <w:spacing w:before="0" w:after="0" w:line="259" w:lineRule="auto"/>
              <w:jc w:val="center"/>
            </w:pPr>
          </w:p>
        </w:tc>
      </w:tr>
    </w:tbl>
    <w:p w14:paraId="496A791A">
      <w:pPr>
        <w:spacing w:after="20"/>
      </w:pPr>
    </w:p>
    <w:p w14:paraId="30C5DD7F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7. Seven-dimension weighted scorecard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 </w:t>
      </w:r>
    </w:p>
    <w:p w14:paraId="27779B74">
      <w:pPr>
        <w:pBdr>
          <w:left w:val="single" w:color="81E688" w:sz="14" w:space="6"/>
        </w:pBdr>
        <w:spacing w:after="10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Dimension score = average criterion score ÷ 4 × dimension weight. Total score = sum of the seven dimension scores (maximum 100).</w:t>
      </w:r>
      <w:r>
        <w:rPr>
          <w:rFonts w:ascii="Calibri" w:hAnsi="Calibri" w:eastAsia="微软雅黑" w:cs="Calibri"/>
          <w:b w:val="0"/>
          <w:i w:val="0"/>
          <w:color w:val="3D5366"/>
          <w:sz w:val="17"/>
        </w:rPr>
        <w:br w:type="textWrapping"/>
      </w:r>
    </w:p>
    <w:p w14:paraId="5EEDED8F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20"/>
        </w:rPr>
        <w:t xml:space="preserve">User Demand &amp; Activation </w:t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br w:type="textWrapping"/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380"/>
        <w:gridCol w:w="1140"/>
      </w:tblGrid>
      <w:tr w14:paraId="77288FA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363A2A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Criterion </w:t>
            </w:r>
          </w:p>
        </w:tc>
        <w:tc>
          <w:tcPr>
            <w:tcW w:w="53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ED97C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Shared evidence and answer area </w:t>
            </w:r>
          </w:p>
        </w:tc>
        <w:tc>
          <w:tcPr>
            <w:tcW w:w="11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C7295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Score (0–4) </w:t>
            </w:r>
          </w:p>
        </w:tc>
      </w:tr>
      <w:tr w14:paraId="4507F6C1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DBA6B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Observed user need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5DC2B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CE690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4E68B0D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98DA9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Station discovery and journey clarity 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8A18C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4677D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21B21CF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99B049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Demand-to-rental funnel 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DE02A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Definition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Project-specific target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620CE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3C82797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575D7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Demand evidence coverage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9D8C1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Definition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Project-specific target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B076D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</w:tbl>
    <w:p w14:paraId="0C8D629F">
      <w:pPr>
        <w:spacing w:after="20"/>
      </w:pPr>
    </w:p>
    <w:p w14:paraId="40D88984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20"/>
        </w:rPr>
        <w:t>User &amp; Payment Journey</w:t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br w:type="textWrapping"/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t>Weight  : 20 points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380"/>
        <w:gridCol w:w="1140"/>
      </w:tblGrid>
      <w:tr w14:paraId="679F15C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9DFFF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Criterion</w:t>
            </w:r>
          </w:p>
        </w:tc>
        <w:tc>
          <w:tcPr>
            <w:tcW w:w="53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D9534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Shared evidence and answer area </w:t>
            </w:r>
          </w:p>
        </w:tc>
        <w:tc>
          <w:tcPr>
            <w:tcW w:w="11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4B511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Score (0–4) </w:t>
            </w:r>
          </w:p>
        </w:tc>
      </w:tr>
      <w:tr w14:paraId="01A1DE0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B0241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Pricing, terms and support disclosure 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9EB11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671ED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51CB2EA1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F771A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Live payment completion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5B875C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1C4A0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45A4966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42945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Payment, order and release integrity 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A0285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90D28C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711E0AF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6E727D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Return and billing completion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26DFE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5B65E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243DB57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4CD81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Refund, dispute and reconciliation control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FA849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CD9E0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</w:tbl>
    <w:p w14:paraId="6715B12B">
      <w:pPr>
        <w:spacing w:after="20"/>
      </w:pPr>
    </w:p>
    <w:p w14:paraId="33670DA2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20"/>
        </w:rPr>
        <w:t xml:space="preserve">System &amp; Fleet Availability </w:t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br w:type="textWrapping"/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t>Weight: 15 points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380"/>
        <w:gridCol w:w="1140"/>
      </w:tblGrid>
      <w:tr w14:paraId="50375A5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4E214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Criterion</w:t>
            </w:r>
          </w:p>
        </w:tc>
        <w:tc>
          <w:tcPr>
            <w:tcW w:w="53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A31FA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Shared evidence and answer area </w:t>
            </w:r>
          </w:p>
        </w:tc>
        <w:tc>
          <w:tcPr>
            <w:tcW w:w="11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66B37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Score (0–4) </w:t>
            </w:r>
          </w:p>
        </w:tc>
      </w:tr>
      <w:tr w14:paraId="4614512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B3F10D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Station online and service availability 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8DEB4A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330EE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19BE0DD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B4B97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Rentable inventory and fleet balance 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F07F5C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151DD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3BBD92F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FD7C6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Return-state and inventory integrity 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5483E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805F2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1A8256E1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7E089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Fault diagnosis and recovery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8E5448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6B78C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</w:tbl>
    <w:p w14:paraId="18BFCE5A">
      <w:pPr>
        <w:spacing w:after="20"/>
      </w:pPr>
    </w:p>
    <w:p w14:paraId="4D09415C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20"/>
        </w:rPr>
        <w:t xml:space="preserve">Venue &amp; Network Effectiveness </w:t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br w:type="textWrapping"/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t>Weight: 15 points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380"/>
        <w:gridCol w:w="1140"/>
      </w:tblGrid>
      <w:tr w14:paraId="5E50745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A3A6C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Criterion </w:t>
            </w:r>
          </w:p>
        </w:tc>
        <w:tc>
          <w:tcPr>
            <w:tcW w:w="53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BB508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Shared evidence and answer area </w:t>
            </w:r>
          </w:p>
        </w:tc>
        <w:tc>
          <w:tcPr>
            <w:tcW w:w="11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CAF8D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Score (0–4) </w:t>
            </w:r>
          </w:p>
        </w:tc>
      </w:tr>
      <w:tr w14:paraId="4259DD8B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38E8B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Representative venue mix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B05265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05B52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449B6899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E3FF1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In-venue position effectiveness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86C27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860AE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321638F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60EA6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Defined network roles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EBE59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Day-30 / 60 / 90 result 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5C485D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2BC3A57B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24234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Network distribution and return usefulness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5116C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B076C8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</w:tbl>
    <w:p w14:paraId="45E192F4">
      <w:pPr>
        <w:spacing w:after="20"/>
      </w:pPr>
    </w:p>
    <w:p w14:paraId="71F0EE4A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20"/>
        </w:rPr>
        <w:t xml:space="preserve">Operations &amp; Support Repeatability </w:t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br w:type="textWrapping"/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t>Weight : 15 points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380"/>
        <w:gridCol w:w="1140"/>
      </w:tblGrid>
      <w:tr w14:paraId="2EF3793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46038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Criterion </w:t>
            </w:r>
          </w:p>
        </w:tc>
        <w:tc>
          <w:tcPr>
            <w:tcW w:w="53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4C6AA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Shared evidence and answer area </w:t>
            </w:r>
          </w:p>
        </w:tc>
        <w:tc>
          <w:tcPr>
            <w:tcW w:w="11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6AA3A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Score (0–4) </w:t>
            </w:r>
          </w:p>
        </w:tc>
      </w:tr>
      <w:tr w14:paraId="481E526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57FDE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Routine operating control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72757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1185E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7C47C07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E30B4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Incident and support closure 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DD5ED6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CB6EC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1647D26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D37F43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Measured operating workload 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32114E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73201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7E8FCEF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C0535E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Operating process repeatability 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E6BC0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05F57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</w:tbl>
    <w:p w14:paraId="0AF2F8E6">
      <w:pPr>
        <w:spacing w:after="20"/>
      </w:pPr>
    </w:p>
    <w:p w14:paraId="7114356D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20"/>
        </w:rPr>
        <w:t xml:space="preserve">Merchant Development &amp; Cooperation  </w:t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br w:type="textWrapping"/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t>Weight  : 10 points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380"/>
        <w:gridCol w:w="1140"/>
      </w:tblGrid>
      <w:tr w14:paraId="16A49EB2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3A2AF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Criterion</w:t>
            </w:r>
          </w:p>
        </w:tc>
        <w:tc>
          <w:tcPr>
            <w:tcW w:w="53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AFC63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Shared evidence and answer area </w:t>
            </w:r>
          </w:p>
        </w:tc>
        <w:tc>
          <w:tcPr>
            <w:tcW w:w="11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21E83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Score (0–4) </w:t>
            </w:r>
          </w:p>
        </w:tc>
      </w:tr>
      <w:tr w14:paraId="60230B5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EF4067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Venue development funnel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81C16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4E042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50FA3021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A124F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Merchant onboarding readiness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62D698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C48B6B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5ED5B7F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A91C4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Merchant cooperation and retention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84F928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B2903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</w:tbl>
    <w:p w14:paraId="51713307">
      <w:pPr>
        <w:spacing w:after="20"/>
      </w:pPr>
    </w:p>
    <w:p w14:paraId="3726A113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20"/>
        </w:rPr>
        <w:t xml:space="preserve">Data &amp; Economic Traceability </w:t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br w:type="textWrapping"/>
      </w:r>
      <w:r>
        <w:rPr>
          <w:rFonts w:ascii="Calibri" w:hAnsi="Calibri" w:eastAsia="微软雅黑" w:cs="Calibri"/>
          <w:b w:val="0"/>
          <w:i w:val="0"/>
          <w:color w:val="3D5366"/>
          <w:sz w:val="19"/>
        </w:rPr>
        <w:t>Weight : 10 points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380"/>
        <w:gridCol w:w="1140"/>
      </w:tblGrid>
      <w:tr w14:paraId="3F3F3109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543477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Criterion</w:t>
            </w:r>
          </w:p>
        </w:tc>
        <w:tc>
          <w:tcPr>
            <w:tcW w:w="53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4E93D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Shared evidence and answer area </w:t>
            </w:r>
          </w:p>
        </w:tc>
        <w:tc>
          <w:tcPr>
            <w:tcW w:w="11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84DD72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Score (0–4) </w:t>
            </w:r>
          </w:p>
        </w:tc>
      </w:tr>
      <w:tr w14:paraId="1EDE600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B2056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Approved KPI dictionary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A92BC6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DEDE21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6CA4C6C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2A409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Source quality and auditability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F575D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76A88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64DE288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5F28D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Traceable operating costs </w:t>
            </w:r>
          </w:p>
        </w:tc>
        <w:tc>
          <w:tcPr>
            <w:tcW w:w="53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AD48D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0B607D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  <w:tr w14:paraId="2C6D6BB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375D0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Material change history </w:t>
            </w:r>
          </w:p>
        </w:tc>
        <w:tc>
          <w:tcPr>
            <w:tcW w:w="53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36BEB">
            <w:pPr>
              <w:spacing w:before="0" w:after="0" w:line="250" w:lineRule="auto"/>
              <w:jc w:val="left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Definition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Project-specific target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Source · period · coverage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Day-30 / 60 / 90 result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Exception · evidence reference · confidence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Conclusion status · owner · due date · retest  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  <w:tc>
          <w:tcPr>
            <w:tcW w:w="11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EA573F">
            <w:pPr>
              <w:spacing w:before="0" w:after="0" w:line="250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>☐ 0   ☐ 1   ☐ 2   ☐ 3   ☐ 4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  <w:r>
              <w:br w:type="textWrapping"/>
            </w:r>
            <w:r>
              <w:rPr>
                <w:rFonts w:ascii="Calibri" w:hAnsi="Calibri" w:eastAsia="微软雅黑" w:cs="Calibri"/>
                <w:b/>
                <w:i w:val="0"/>
                <w:color w:val="65727E"/>
                <w:sz w:val="15"/>
              </w:rPr>
              <w:t xml:space="preserve">Score 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65727E"/>
                <w:sz w:val="14"/>
              </w:rPr>
              <w:t>________________________________________________________________</w:t>
            </w:r>
          </w:p>
        </w:tc>
      </w:tr>
    </w:tbl>
    <w:p w14:paraId="0B09C9CB">
      <w:pPr>
        <w:spacing w:after="20"/>
      </w:pP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0"/>
        <w:gridCol w:w="1300"/>
        <w:gridCol w:w="3090"/>
      </w:tblGrid>
      <w:tr w14:paraId="24DD01E9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497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163A3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Dimension</w:t>
            </w:r>
          </w:p>
        </w:tc>
        <w:tc>
          <w:tcPr>
            <w:tcW w:w="13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2A0B4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Weight</w:t>
            </w:r>
          </w:p>
        </w:tc>
        <w:tc>
          <w:tcPr>
            <w:tcW w:w="309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D750E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Dimension score (blank)</w:t>
            </w:r>
          </w:p>
        </w:tc>
      </w:tr>
      <w:tr w14:paraId="26C64B8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6B961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User Demand &amp; Activation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01482B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15</w:t>
            </w:r>
          </w:p>
        </w:tc>
        <w:tc>
          <w:tcPr>
            <w:tcW w:w="30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85993">
            <w:pPr>
              <w:spacing w:before="0" w:after="0" w:line="259" w:lineRule="auto"/>
              <w:jc w:val="center"/>
            </w:pPr>
          </w:p>
        </w:tc>
      </w:tr>
      <w:tr w14:paraId="068A676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503AE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User &amp; Payment Journey</w:t>
            </w:r>
          </w:p>
        </w:tc>
        <w:tc>
          <w:tcPr>
            <w:tcW w:w="13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E4944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20</w:t>
            </w:r>
          </w:p>
        </w:tc>
        <w:tc>
          <w:tcPr>
            <w:tcW w:w="309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301DE">
            <w:pPr>
              <w:spacing w:before="0" w:after="0" w:line="259" w:lineRule="auto"/>
              <w:jc w:val="center"/>
            </w:pPr>
          </w:p>
        </w:tc>
      </w:tr>
      <w:tr w14:paraId="4985A7B9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BF309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System &amp; Fleet Availability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6155EE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15</w:t>
            </w:r>
          </w:p>
        </w:tc>
        <w:tc>
          <w:tcPr>
            <w:tcW w:w="30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C42E7">
            <w:pPr>
              <w:spacing w:before="0" w:after="0" w:line="259" w:lineRule="auto"/>
              <w:jc w:val="center"/>
            </w:pPr>
          </w:p>
        </w:tc>
      </w:tr>
      <w:tr w14:paraId="4A9F49B0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CD195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Venue &amp; Network Effectiveness</w:t>
            </w:r>
          </w:p>
        </w:tc>
        <w:tc>
          <w:tcPr>
            <w:tcW w:w="13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F2D4E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15</w:t>
            </w:r>
          </w:p>
        </w:tc>
        <w:tc>
          <w:tcPr>
            <w:tcW w:w="309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4C9AB">
            <w:pPr>
              <w:spacing w:before="0" w:after="0" w:line="259" w:lineRule="auto"/>
              <w:jc w:val="center"/>
            </w:pPr>
          </w:p>
        </w:tc>
      </w:tr>
      <w:tr w14:paraId="310AE25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10208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Operations &amp; Support Repeatability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E3657E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15</w:t>
            </w:r>
          </w:p>
        </w:tc>
        <w:tc>
          <w:tcPr>
            <w:tcW w:w="30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BDCA4">
            <w:pPr>
              <w:spacing w:before="0" w:after="0" w:line="259" w:lineRule="auto"/>
              <w:jc w:val="center"/>
            </w:pPr>
          </w:p>
        </w:tc>
      </w:tr>
      <w:tr w14:paraId="18492980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55956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Merchant Development &amp; Cooperation</w:t>
            </w:r>
          </w:p>
        </w:tc>
        <w:tc>
          <w:tcPr>
            <w:tcW w:w="13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4C637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10</w:t>
            </w:r>
          </w:p>
        </w:tc>
        <w:tc>
          <w:tcPr>
            <w:tcW w:w="309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C694BE">
            <w:pPr>
              <w:spacing w:before="0" w:after="0" w:line="259" w:lineRule="auto"/>
              <w:jc w:val="center"/>
            </w:pPr>
          </w:p>
        </w:tc>
      </w:tr>
      <w:tr w14:paraId="2B0034C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DB597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Data &amp; Economic Traceability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AC6E7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10</w:t>
            </w:r>
          </w:p>
        </w:tc>
        <w:tc>
          <w:tcPr>
            <w:tcW w:w="30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BFFE3">
            <w:pPr>
              <w:spacing w:before="0" w:after="0" w:line="259" w:lineRule="auto"/>
              <w:jc w:val="center"/>
            </w:pPr>
          </w:p>
        </w:tc>
      </w:tr>
      <w:tr w14:paraId="39A156A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9B360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Total score</w:t>
            </w:r>
          </w:p>
        </w:tc>
        <w:tc>
          <w:tcPr>
            <w:tcW w:w="13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C71039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100</w:t>
            </w:r>
          </w:p>
        </w:tc>
        <w:tc>
          <w:tcPr>
            <w:tcW w:w="309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1CF730">
            <w:pPr>
              <w:spacing w:before="0" w:after="0" w:line="259" w:lineRule="auto"/>
              <w:jc w:val="center"/>
            </w:pPr>
          </w:p>
        </w:tc>
      </w:tr>
    </w:tbl>
    <w:p w14:paraId="2B5074F0">
      <w:pPr>
        <w:spacing w:after="20"/>
      </w:pPr>
    </w:p>
    <w:p w14:paraId="4AF04AB9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8. Day-30 stability review: Stabilize</w:t>
      </w:r>
      <w:r>
        <w:rPr>
          <w:rFonts w:hint="eastAsia" w:ascii="Calibri" w:hAnsi="Calibri" w:eastAsia="微软雅黑" w:cs="Calibri"/>
          <w:b/>
          <w:i w:val="0"/>
          <w:color w:val="1F4D78"/>
          <w:sz w:val="26"/>
          <w:lang w:val="en-US" w:eastAsia="zh-CN"/>
        </w:rPr>
        <w:t>/</w:t>
      </w:r>
      <w:r>
        <w:rPr>
          <w:rFonts w:ascii="Calibri" w:hAnsi="Calibri" w:eastAsia="微软雅黑" w:cs="Calibri"/>
          <w:b/>
          <w:i w:val="0"/>
          <w:color w:val="1F4D78"/>
          <w:sz w:val="26"/>
        </w:rPr>
        <w:t>Restrict</w:t>
      </w:r>
      <w:r>
        <w:rPr>
          <w:rFonts w:hint="eastAsia" w:ascii="Calibri" w:hAnsi="Calibri" w:eastAsia="微软雅黑" w:cs="Calibri"/>
          <w:b/>
          <w:i w:val="0"/>
          <w:color w:val="1F4D78"/>
          <w:sz w:val="26"/>
          <w:lang w:val="en-US" w:eastAsia="zh-CN"/>
        </w:rPr>
        <w:t>/</w:t>
      </w:r>
      <w:r>
        <w:rPr>
          <w:rFonts w:ascii="Calibri" w:hAnsi="Calibri" w:eastAsia="微软雅黑" w:cs="Calibri"/>
          <w:b/>
          <w:i w:val="0"/>
          <w:color w:val="1F4D78"/>
          <w:sz w:val="26"/>
        </w:rPr>
        <w:t>Proceed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6040"/>
      </w:tblGrid>
      <w:tr w14:paraId="5C79F78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32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9CAEB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Review prompt</w:t>
            </w:r>
          </w:p>
        </w:tc>
        <w:tc>
          <w:tcPr>
            <w:tcW w:w="60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949ED4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Shared answer area</w:t>
            </w:r>
          </w:p>
        </w:tc>
      </w:tr>
      <w:tr w14:paraId="07FE5F4B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9BC77B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Stability evidence and critical exceptions</w:t>
            </w:r>
          </w:p>
        </w:tc>
        <w:tc>
          <w:tcPr>
            <w:tcW w:w="60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CE274">
            <w:pPr>
              <w:spacing w:before="0" w:after="0" w:line="259" w:lineRule="auto"/>
              <w:jc w:val="center"/>
            </w:pPr>
          </w:p>
        </w:tc>
      </w:tr>
      <w:tr w14:paraId="006B381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2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388A0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Stabilize  ☐ Restrict  ☐ Proceed — rationale</w:t>
            </w:r>
          </w:p>
        </w:tc>
        <w:tc>
          <w:tcPr>
            <w:tcW w:w="60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6C7D6F">
            <w:pPr>
              <w:spacing w:before="0" w:after="0" w:line="259" w:lineRule="auto"/>
              <w:jc w:val="center"/>
            </w:pPr>
          </w:p>
        </w:tc>
      </w:tr>
      <w:tr w14:paraId="1470E8C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1950E8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Condition, owner and due date</w:t>
            </w:r>
          </w:p>
        </w:tc>
        <w:tc>
          <w:tcPr>
            <w:tcW w:w="60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F660E">
            <w:pPr>
              <w:spacing w:before="0" w:after="0" w:line="259" w:lineRule="auto"/>
              <w:jc w:val="center"/>
            </w:pPr>
          </w:p>
        </w:tc>
      </w:tr>
    </w:tbl>
    <w:p w14:paraId="0387DBEC">
      <w:pPr>
        <w:spacing w:after="20"/>
      </w:pPr>
    </w:p>
    <w:p w14:paraId="477F7130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9. Day-60 adjustment review and final-phase hypotheses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050"/>
        <w:gridCol w:w="3160"/>
      </w:tblGrid>
      <w:tr w14:paraId="323DF3A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1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C278F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Hypothesis or adjustment </w:t>
            </w:r>
          </w:p>
        </w:tc>
        <w:tc>
          <w:tcPr>
            <w:tcW w:w="30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B55B2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Variable and affected stations </w:t>
            </w:r>
          </w:p>
        </w:tc>
        <w:tc>
          <w:tcPr>
            <w:tcW w:w="3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F37F2F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Owner · due date · retest window </w:t>
            </w:r>
          </w:p>
        </w:tc>
      </w:tr>
      <w:tr w14:paraId="254008D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44F01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104FEC">
            <w:pPr>
              <w:spacing w:before="0" w:after="0" w:line="259" w:lineRule="auto"/>
              <w:jc w:val="left"/>
            </w:pPr>
          </w:p>
        </w:tc>
        <w:tc>
          <w:tcPr>
            <w:tcW w:w="3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D6E4B">
            <w:pPr>
              <w:spacing w:before="0" w:after="0" w:line="259" w:lineRule="auto"/>
              <w:jc w:val="center"/>
            </w:pPr>
          </w:p>
        </w:tc>
      </w:tr>
      <w:tr w14:paraId="516B5F1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E433B6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CACCA7">
            <w:pPr>
              <w:spacing w:before="0" w:after="0" w:line="259" w:lineRule="auto"/>
              <w:jc w:val="left"/>
            </w:pPr>
          </w:p>
        </w:tc>
        <w:tc>
          <w:tcPr>
            <w:tcW w:w="31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2EC00">
            <w:pPr>
              <w:spacing w:before="0" w:after="0" w:line="259" w:lineRule="auto"/>
              <w:jc w:val="center"/>
            </w:pPr>
          </w:p>
        </w:tc>
      </w:tr>
      <w:tr w14:paraId="1524B69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05B2B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20C0D">
            <w:pPr>
              <w:spacing w:before="0" w:after="0" w:line="259" w:lineRule="auto"/>
              <w:jc w:val="left"/>
            </w:pPr>
          </w:p>
        </w:tc>
        <w:tc>
          <w:tcPr>
            <w:tcW w:w="3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A9D83">
            <w:pPr>
              <w:spacing w:before="0" w:after="0" w:line="259" w:lineRule="auto"/>
              <w:jc w:val="center"/>
            </w:pPr>
          </w:p>
        </w:tc>
      </w:tr>
      <w:tr w14:paraId="40B9441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1FEB18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BBF4B">
            <w:pPr>
              <w:spacing w:before="0" w:after="0" w:line="259" w:lineRule="auto"/>
              <w:jc w:val="left"/>
            </w:pPr>
          </w:p>
        </w:tc>
        <w:tc>
          <w:tcPr>
            <w:tcW w:w="31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6B6266">
            <w:pPr>
              <w:spacing w:before="0" w:after="0" w:line="259" w:lineRule="auto"/>
              <w:jc w:val="center"/>
            </w:pPr>
          </w:p>
        </w:tc>
      </w:tr>
      <w:tr w14:paraId="7C24C00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1EF47">
            <w:pPr>
              <w:spacing w:before="0" w:after="0" w:line="259" w:lineRule="auto"/>
              <w:jc w:val="left"/>
            </w:pPr>
          </w:p>
        </w:tc>
        <w:tc>
          <w:tcPr>
            <w:tcW w:w="3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0CCD1">
            <w:pPr>
              <w:spacing w:before="0" w:after="0" w:line="259" w:lineRule="auto"/>
              <w:jc w:val="left"/>
            </w:pPr>
          </w:p>
        </w:tc>
        <w:tc>
          <w:tcPr>
            <w:tcW w:w="3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4AA920">
            <w:pPr>
              <w:spacing w:before="0" w:after="0" w:line="259" w:lineRule="auto"/>
              <w:jc w:val="center"/>
            </w:pPr>
          </w:p>
        </w:tc>
      </w:tr>
    </w:tbl>
    <w:p w14:paraId="007E8A87">
      <w:pPr>
        <w:spacing w:after="20"/>
      </w:pPr>
    </w:p>
    <w:p w14:paraId="63024A35">
      <w:pPr>
        <w:pStyle w:val="4"/>
        <w:keepNext/>
        <w:pBdr>
          <w:bottom w:val="single" w:color="81E688" w:sz="8" w:space="4"/>
        </w:pBdr>
        <w:spacing w:before="280" w:after="140"/>
        <w:rPr>
          <w:rFonts w:hint="eastAsia" w:eastAsia="微软雅黑"/>
          <w:lang w:eastAsia="zh-CN"/>
        </w:rPr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10. Issue, corrective-action and retest register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  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600"/>
        <w:gridCol w:w="1850"/>
        <w:gridCol w:w="1850"/>
        <w:gridCol w:w="1160"/>
      </w:tblGrid>
      <w:tr w14:paraId="45660EC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D5999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Issue </w:t>
            </w:r>
          </w:p>
        </w:tc>
        <w:tc>
          <w:tcPr>
            <w:tcW w:w="26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B7920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Corrective action </w:t>
            </w:r>
          </w:p>
        </w:tc>
        <w:tc>
          <w:tcPr>
            <w:tcW w:w="18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C00D0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Owner · due date</w:t>
            </w:r>
          </w:p>
        </w:tc>
        <w:tc>
          <w:tcPr>
            <w:tcW w:w="18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EF372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Retest result </w:t>
            </w:r>
          </w:p>
        </w:tc>
        <w:tc>
          <w:tcPr>
            <w:tcW w:w="1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0581C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Status </w:t>
            </w:r>
          </w:p>
        </w:tc>
      </w:tr>
      <w:tr w14:paraId="0053F633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F00ACD">
            <w:pPr>
              <w:spacing w:before="0" w:after="0" w:line="259" w:lineRule="auto"/>
              <w:jc w:val="left"/>
            </w:pP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52BB0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7DF129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FDD5E5">
            <w:pPr>
              <w:spacing w:before="0" w:after="0" w:line="259" w:lineRule="auto"/>
              <w:jc w:val="left"/>
            </w:pPr>
          </w:p>
        </w:tc>
        <w:tc>
          <w:tcPr>
            <w:tcW w:w="1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39632">
            <w:pPr>
              <w:spacing w:before="0" w:after="0" w:line="259" w:lineRule="auto"/>
              <w:jc w:val="center"/>
            </w:pPr>
          </w:p>
        </w:tc>
      </w:tr>
      <w:tr w14:paraId="5B71208E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4D29A">
            <w:pPr>
              <w:spacing w:before="0" w:after="0" w:line="259" w:lineRule="auto"/>
              <w:jc w:val="left"/>
            </w:pPr>
          </w:p>
        </w:tc>
        <w:tc>
          <w:tcPr>
            <w:tcW w:w="26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47DF2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FE7DDC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2919B">
            <w:pPr>
              <w:spacing w:before="0" w:after="0" w:line="259" w:lineRule="auto"/>
              <w:jc w:val="left"/>
            </w:pPr>
          </w:p>
        </w:tc>
        <w:tc>
          <w:tcPr>
            <w:tcW w:w="11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68345">
            <w:pPr>
              <w:spacing w:before="0" w:after="0" w:line="259" w:lineRule="auto"/>
              <w:jc w:val="center"/>
            </w:pPr>
          </w:p>
        </w:tc>
      </w:tr>
      <w:tr w14:paraId="2E2425A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FB118">
            <w:pPr>
              <w:spacing w:before="0" w:after="0" w:line="259" w:lineRule="auto"/>
              <w:jc w:val="left"/>
            </w:pP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BB61B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F322C0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3B4DB5">
            <w:pPr>
              <w:spacing w:before="0" w:after="0" w:line="259" w:lineRule="auto"/>
              <w:jc w:val="left"/>
            </w:pPr>
          </w:p>
        </w:tc>
        <w:tc>
          <w:tcPr>
            <w:tcW w:w="1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2F360">
            <w:pPr>
              <w:spacing w:before="0" w:after="0" w:line="259" w:lineRule="auto"/>
              <w:jc w:val="center"/>
            </w:pPr>
          </w:p>
        </w:tc>
      </w:tr>
      <w:tr w14:paraId="2E70B41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62F4A">
            <w:pPr>
              <w:spacing w:before="0" w:after="0" w:line="259" w:lineRule="auto"/>
              <w:jc w:val="left"/>
            </w:pPr>
          </w:p>
        </w:tc>
        <w:tc>
          <w:tcPr>
            <w:tcW w:w="26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386ED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0E723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EACC6">
            <w:pPr>
              <w:spacing w:before="0" w:after="0" w:line="259" w:lineRule="auto"/>
              <w:jc w:val="left"/>
            </w:pPr>
          </w:p>
        </w:tc>
        <w:tc>
          <w:tcPr>
            <w:tcW w:w="11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693816">
            <w:pPr>
              <w:spacing w:before="0" w:after="0" w:line="259" w:lineRule="auto"/>
              <w:jc w:val="center"/>
            </w:pPr>
          </w:p>
        </w:tc>
      </w:tr>
      <w:tr w14:paraId="32E2465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06EF2">
            <w:pPr>
              <w:spacing w:before="0" w:after="0" w:line="259" w:lineRule="auto"/>
              <w:jc w:val="left"/>
            </w:pP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7214DE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7A6B85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C5DCA2">
            <w:pPr>
              <w:spacing w:before="0" w:after="0" w:line="259" w:lineRule="auto"/>
              <w:jc w:val="left"/>
            </w:pPr>
          </w:p>
        </w:tc>
        <w:tc>
          <w:tcPr>
            <w:tcW w:w="1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2645C">
            <w:pPr>
              <w:spacing w:before="0" w:after="0" w:line="259" w:lineRule="auto"/>
              <w:jc w:val="center"/>
            </w:pPr>
          </w:p>
        </w:tc>
      </w:tr>
      <w:tr w14:paraId="39F507F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7673C">
            <w:pPr>
              <w:spacing w:before="0" w:after="0" w:line="259" w:lineRule="auto"/>
              <w:jc w:val="left"/>
            </w:pPr>
          </w:p>
        </w:tc>
        <w:tc>
          <w:tcPr>
            <w:tcW w:w="26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7DC58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D29E9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E680B">
            <w:pPr>
              <w:spacing w:before="0" w:after="0" w:line="259" w:lineRule="auto"/>
              <w:jc w:val="left"/>
            </w:pPr>
          </w:p>
        </w:tc>
        <w:tc>
          <w:tcPr>
            <w:tcW w:w="11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002C3">
            <w:pPr>
              <w:spacing w:before="0" w:after="0" w:line="259" w:lineRule="auto"/>
              <w:jc w:val="center"/>
            </w:pPr>
          </w:p>
        </w:tc>
      </w:tr>
      <w:tr w14:paraId="135E9ED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CBF9B">
            <w:pPr>
              <w:spacing w:before="0" w:after="0" w:line="259" w:lineRule="auto"/>
              <w:jc w:val="left"/>
            </w:pP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713BE4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7A894">
            <w:pPr>
              <w:spacing w:before="0" w:after="0" w:line="259" w:lineRule="auto"/>
              <w:jc w:val="left"/>
            </w:pP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CBEE19">
            <w:pPr>
              <w:spacing w:before="0" w:after="0" w:line="259" w:lineRule="auto"/>
              <w:jc w:val="left"/>
            </w:pPr>
          </w:p>
        </w:tc>
        <w:tc>
          <w:tcPr>
            <w:tcW w:w="1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9B560">
            <w:pPr>
              <w:spacing w:before="0" w:after="0" w:line="259" w:lineRule="auto"/>
              <w:jc w:val="center"/>
            </w:pPr>
          </w:p>
        </w:tc>
      </w:tr>
    </w:tbl>
    <w:p w14:paraId="31D809DD">
      <w:pPr>
        <w:spacing w:after="20"/>
      </w:pPr>
    </w:p>
    <w:p w14:paraId="7548131E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11. Day-90 Evidence Pack completeness index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3080"/>
        <w:gridCol w:w="1700"/>
        <w:gridCol w:w="1480"/>
      </w:tblGrid>
      <w:tr w14:paraId="3346A677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E2133D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Evidence item</w:t>
            </w:r>
          </w:p>
        </w:tc>
        <w:tc>
          <w:tcPr>
            <w:tcW w:w="30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DC629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Reference and coverage</w:t>
            </w:r>
          </w:p>
        </w:tc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F0BBA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Completeness </w:t>
            </w:r>
          </w:p>
        </w:tc>
        <w:tc>
          <w:tcPr>
            <w:tcW w:w="14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39BAB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Reviewer</w:t>
            </w:r>
          </w:p>
        </w:tc>
      </w:tr>
      <w:tr w14:paraId="765A2A4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EF3B4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Approved charter and change history </w:t>
            </w:r>
          </w:p>
        </w:tc>
        <w:tc>
          <w:tcPr>
            <w:tcW w:w="3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CDFBF">
            <w:pPr>
              <w:spacing w:before="0" w:after="0" w:line="259" w:lineRule="auto"/>
              <w:jc w:val="left"/>
            </w:pP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E1D82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Complete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Partial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Missing</w:t>
            </w:r>
          </w:p>
        </w:tc>
        <w:tc>
          <w:tcPr>
            <w:tcW w:w="1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91620D">
            <w:pPr>
              <w:spacing w:before="0" w:after="0" w:line="259" w:lineRule="auto"/>
              <w:jc w:val="center"/>
            </w:pPr>
          </w:p>
        </w:tc>
      </w:tr>
      <w:tr w14:paraId="404D286A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707B4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Deployment and go-live acceptance </w:t>
            </w:r>
          </w:p>
        </w:tc>
        <w:tc>
          <w:tcPr>
            <w:tcW w:w="30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D83B6">
            <w:pPr>
              <w:spacing w:before="0" w:after="0" w:line="259" w:lineRule="auto"/>
              <w:jc w:val="left"/>
            </w:pPr>
          </w:p>
        </w:tc>
        <w:tc>
          <w:tcPr>
            <w:tcW w:w="17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771A2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Complete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Partial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Missing</w:t>
            </w:r>
          </w:p>
        </w:tc>
        <w:tc>
          <w:tcPr>
            <w:tcW w:w="14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B17CC">
            <w:pPr>
              <w:spacing w:before="0" w:after="0" w:line="259" w:lineRule="auto"/>
              <w:jc w:val="center"/>
            </w:pPr>
          </w:p>
        </w:tc>
      </w:tr>
      <w:tr w14:paraId="5EBAEA0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9F227A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KPI extracts and reconciliation</w:t>
            </w:r>
          </w:p>
        </w:tc>
        <w:tc>
          <w:tcPr>
            <w:tcW w:w="3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CEC8C8">
            <w:pPr>
              <w:spacing w:before="0" w:after="0" w:line="259" w:lineRule="auto"/>
              <w:jc w:val="left"/>
            </w:pP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61909E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Complete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Partial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Missing</w:t>
            </w:r>
          </w:p>
        </w:tc>
        <w:tc>
          <w:tcPr>
            <w:tcW w:w="1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F3DE15">
            <w:pPr>
              <w:spacing w:before="0" w:after="0" w:line="259" w:lineRule="auto"/>
              <w:jc w:val="center"/>
            </w:pPr>
          </w:p>
        </w:tc>
      </w:tr>
      <w:tr w14:paraId="13C51A32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2D07B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Incident, corrective-action and retest records</w:t>
            </w:r>
          </w:p>
        </w:tc>
        <w:tc>
          <w:tcPr>
            <w:tcW w:w="30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33910">
            <w:pPr>
              <w:spacing w:before="0" w:after="0" w:line="259" w:lineRule="auto"/>
              <w:jc w:val="left"/>
            </w:pPr>
          </w:p>
        </w:tc>
        <w:tc>
          <w:tcPr>
            <w:tcW w:w="17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312DC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Complete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Partial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Missing</w:t>
            </w:r>
          </w:p>
        </w:tc>
        <w:tc>
          <w:tcPr>
            <w:tcW w:w="14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5C00DD">
            <w:pPr>
              <w:spacing w:before="0" w:after="0" w:line="259" w:lineRule="auto"/>
              <w:jc w:val="center"/>
            </w:pPr>
          </w:p>
        </w:tc>
      </w:tr>
      <w:tr w14:paraId="356670A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B0553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Venue, payment, privacy and authorization evidence</w:t>
            </w:r>
          </w:p>
        </w:tc>
        <w:tc>
          <w:tcPr>
            <w:tcW w:w="3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4D4B5">
            <w:pPr>
              <w:spacing w:before="0" w:after="0" w:line="259" w:lineRule="auto"/>
              <w:jc w:val="left"/>
            </w:pP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1D34B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Complete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Partial</w:t>
            </w:r>
            <w:r>
              <w:br w:type="textWrapping"/>
            </w: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Missing</w:t>
            </w:r>
          </w:p>
        </w:tc>
        <w:tc>
          <w:tcPr>
            <w:tcW w:w="1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6CB46">
            <w:pPr>
              <w:spacing w:before="0" w:after="0" w:line="259" w:lineRule="auto"/>
              <w:jc w:val="center"/>
            </w:pPr>
          </w:p>
        </w:tc>
      </w:tr>
    </w:tbl>
    <w:p w14:paraId="57D4FE28">
      <w:pPr>
        <w:spacing w:after="20"/>
      </w:pPr>
    </w:p>
    <w:p w14:paraId="54761AF6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12. Go / Adjust / Stop decision sheet and controlled-scale conditions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</w:t>
      </w:r>
    </w:p>
    <w:p w14:paraId="5129F296">
      <w:pPr>
        <w:pBdr>
          <w:left w:val="single" w:color="81E688" w:sz="14" w:space="6"/>
        </w:pBdr>
        <w:spacing w:after="80" w:line="300" w:lineRule="auto"/>
      </w:pPr>
      <w:r>
        <w:rPr>
          <w:rFonts w:ascii="Calibri" w:hAnsi="Calibri" w:eastAsia="微软雅黑" w:cs="Calibri"/>
          <w:b w:val="0"/>
          <w:i w:val="0"/>
          <w:color w:val="202B35"/>
          <w:sz w:val="18"/>
        </w:rPr>
        <w:t>Select and approve a management decision only after review. This workbook does not make the decision automatically.</w:t>
      </w:r>
      <w:r>
        <w:rPr>
          <w:rFonts w:ascii="Calibri" w:hAnsi="Calibri" w:eastAsia="微软雅黑" w:cs="Calibri"/>
          <w:b w:val="0"/>
          <w:i w:val="0"/>
          <w:color w:val="3D5366"/>
          <w:sz w:val="17"/>
        </w:rPr>
        <w:br w:type="textWrapping"/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740"/>
        <w:gridCol w:w="2640"/>
      </w:tblGrid>
      <w:tr w14:paraId="69CE57F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9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2FEA4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Human decision</w:t>
            </w:r>
          </w:p>
        </w:tc>
        <w:tc>
          <w:tcPr>
            <w:tcW w:w="47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71936C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Definition </w:t>
            </w:r>
          </w:p>
        </w:tc>
        <w:tc>
          <w:tcPr>
            <w:tcW w:w="26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3648E">
            <w:pPr>
              <w:spacing w:before="0" w:after="0" w:line="259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Conditions, approver and date </w:t>
            </w:r>
          </w:p>
        </w:tc>
      </w:tr>
      <w:tr w14:paraId="051D2CCF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E4708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☐ Go</w:t>
            </w:r>
          </w:p>
        </w:tc>
        <w:tc>
          <w:tcPr>
            <w:tcW w:w="47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00A5E9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All red lines are closed; reliable evidence supports controlled replication; the team can support a defined next wave; remaining risks have owners and limits.</w:t>
            </w:r>
          </w:p>
        </w:tc>
        <w:tc>
          <w:tcPr>
            <w:tcW w:w="26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3DCD7">
            <w:pPr>
              <w:spacing w:before="0" w:after="0" w:line="259" w:lineRule="auto"/>
              <w:jc w:val="center"/>
            </w:pPr>
          </w:p>
        </w:tc>
      </w:tr>
      <w:tr w14:paraId="0C4093F2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17F720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Adjust </w:t>
            </w:r>
          </w:p>
        </w:tc>
        <w:tc>
          <w:tcPr>
            <w:tcW w:w="47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22B30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The opportunity remains plausible but repairable gaps or insufficient evidence remain; the next test states the variable, owner, due date, affected stations and retest window; no uncontrolled expansion occurs before review. </w:t>
            </w:r>
          </w:p>
        </w:tc>
        <w:tc>
          <w:tcPr>
            <w:tcW w:w="264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E1BC44">
            <w:pPr>
              <w:spacing w:before="0" w:after="0" w:line="259" w:lineRule="auto"/>
              <w:jc w:val="center"/>
            </w:pPr>
          </w:p>
        </w:tc>
      </w:tr>
      <w:tr w14:paraId="64B4B20D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F8E3B8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 xml:space="preserve">☐ Stop </w:t>
            </w:r>
          </w:p>
        </w:tc>
        <w:tc>
          <w:tcPr>
            <w:tcW w:w="47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8C027">
            <w:pPr>
              <w:spacing w:before="0" w:after="0" w:line="259" w:lineRule="auto"/>
              <w:jc w:val="left"/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A critical risk remains open, a material issue repeats after correction, evidence cannot be audited, or the proposed operating model cannot be supported; the exit plan covers users/orders/refunds, assets, venues, data and suppliers.</w:t>
            </w:r>
          </w:p>
        </w:tc>
        <w:tc>
          <w:tcPr>
            <w:tcW w:w="26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ECC8F">
            <w:pPr>
              <w:spacing w:before="0" w:after="0" w:line="259" w:lineRule="auto"/>
              <w:jc w:val="center"/>
            </w:pPr>
          </w:p>
        </w:tc>
      </w:tr>
    </w:tbl>
    <w:p w14:paraId="5D5FF704">
      <w:pPr>
        <w:spacing w:after="20"/>
      </w:pPr>
    </w:p>
    <w:p w14:paraId="2CBF7E47">
      <w:pPr>
        <w:pStyle w:val="4"/>
        <w:keepNext/>
        <w:pBdr>
          <w:bottom w:val="single" w:color="81E688" w:sz="8" w:space="4"/>
        </w:pBdr>
        <w:spacing w:before="280" w:after="140"/>
      </w:pPr>
      <w:r>
        <w:rPr>
          <w:rFonts w:ascii="Calibri" w:hAnsi="Calibri" w:eastAsia="微软雅黑" w:cs="Calibri"/>
          <w:b/>
          <w:i w:val="0"/>
          <w:color w:val="1F4D78"/>
          <w:sz w:val="26"/>
        </w:rPr>
        <w:t>13. Exit-plan checklist for Stop decisions</w:t>
      </w:r>
      <w:r>
        <w:rPr>
          <w:rFonts w:ascii="Calibri" w:hAnsi="Calibri" w:eastAsia="微软雅黑" w:cs="Calibri"/>
          <w:b/>
          <w:i w:val="0"/>
          <w:color w:val="1F4D78"/>
          <w:sz w:val="24"/>
        </w:rPr>
        <w:t xml:space="preserve">  </w:t>
      </w:r>
    </w:p>
    <w:tbl>
      <w:tblPr>
        <w:tblStyle w:val="33"/>
        <w:tblW w:w="9360" w:type="dxa"/>
        <w:tblInd w:w="120" w:type="dxa"/>
        <w:tblBorders>
          <w:top w:val="single" w:color="C7D2DC" w:sz="4" w:space="0"/>
          <w:left w:val="single" w:color="C7D2DC" w:sz="4" w:space="0"/>
          <w:bottom w:val="single" w:color="C7D2DC" w:sz="4" w:space="0"/>
          <w:right w:val="single" w:color="C7D2DC" w:sz="4" w:space="0"/>
          <w:insideH w:val="single" w:color="C7D2DC" w:sz="4" w:space="0"/>
          <w:insideV w:val="single" w:color="C7D2D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2500"/>
        <w:gridCol w:w="3260"/>
      </w:tblGrid>
      <w:tr w14:paraId="6A488618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6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B5881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>Exit item</w:t>
            </w:r>
          </w:p>
        </w:tc>
        <w:tc>
          <w:tcPr>
            <w:tcW w:w="2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4895C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Owner and due date </w:t>
            </w:r>
          </w:p>
        </w:tc>
        <w:tc>
          <w:tcPr>
            <w:tcW w:w="32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AAA45">
            <w:pPr>
              <w:spacing w:before="0" w:after="0" w:line="259" w:lineRule="auto"/>
              <w:jc w:val="center"/>
            </w:pPr>
            <w:r>
              <w:rPr>
                <w:rFonts w:ascii="Calibri" w:hAnsi="Calibri" w:eastAsia="微软雅黑" w:cs="Calibri"/>
                <w:b/>
                <w:i w:val="0"/>
                <w:color w:val="17324D"/>
                <w:sz w:val="17"/>
              </w:rPr>
              <w:t xml:space="preserve">Evidence of completion </w:t>
            </w:r>
          </w:p>
        </w:tc>
      </w:tr>
      <w:tr w14:paraId="7DFBDD7B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B8180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Users, open orders and refunds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EA836">
            <w:pPr>
              <w:spacing w:before="0" w:after="0" w:line="259" w:lineRule="auto"/>
              <w:jc w:val="left"/>
            </w:pP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F819D">
            <w:pPr>
              <w:spacing w:before="0" w:after="0" w:line="259" w:lineRule="auto"/>
              <w:jc w:val="center"/>
            </w:pPr>
          </w:p>
        </w:tc>
      </w:tr>
      <w:tr w14:paraId="3DB523D4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2B640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Assets, station removal and inventory</w:t>
            </w:r>
          </w:p>
        </w:tc>
        <w:tc>
          <w:tcPr>
            <w:tcW w:w="25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5E841">
            <w:pPr>
              <w:spacing w:before="0" w:after="0" w:line="259" w:lineRule="auto"/>
              <w:jc w:val="left"/>
            </w:pPr>
          </w:p>
        </w:tc>
        <w:tc>
          <w:tcPr>
            <w:tcW w:w="32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69F31">
            <w:pPr>
              <w:spacing w:before="0" w:after="0" w:line="259" w:lineRule="auto"/>
              <w:jc w:val="center"/>
            </w:pPr>
          </w:p>
        </w:tc>
      </w:tr>
      <w:tr w14:paraId="3A611C65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399A0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Venues, suppliers and communications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39EAC">
            <w:pPr>
              <w:spacing w:before="0" w:after="0" w:line="259" w:lineRule="auto"/>
              <w:jc w:val="left"/>
            </w:pP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26830">
            <w:pPr>
              <w:spacing w:before="0" w:after="0" w:line="259" w:lineRule="auto"/>
              <w:jc w:val="center"/>
            </w:pPr>
          </w:p>
        </w:tc>
      </w:tr>
      <w:tr w14:paraId="24B155D6">
        <w:tblPrEx>
          <w:tblBorders>
            <w:top w:val="single" w:color="C7D2DC" w:sz="4" w:space="0"/>
            <w:left w:val="single" w:color="C7D2DC" w:sz="4" w:space="0"/>
            <w:bottom w:val="single" w:color="C7D2DC" w:sz="4" w:space="0"/>
            <w:right w:val="single" w:color="C7D2DC" w:sz="4" w:space="0"/>
            <w:insideH w:val="single" w:color="C7D2DC" w:sz="4" w:space="0"/>
            <w:insideV w:val="single" w:color="C7D2D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2CEB4">
            <w:pPr>
              <w:spacing w:before="0" w:after="0" w:line="259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Calibri" w:hAnsi="Calibri" w:eastAsia="微软雅黑" w:cs="Calibri"/>
                <w:b w:val="0"/>
                <w:i w:val="0"/>
                <w:color w:val="202B35"/>
                <w:sz w:val="16"/>
              </w:rPr>
              <w:t>Data export, retention and access closure</w:t>
            </w:r>
          </w:p>
        </w:tc>
        <w:tc>
          <w:tcPr>
            <w:tcW w:w="25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E9EFD">
            <w:pPr>
              <w:spacing w:before="0" w:after="0" w:line="259" w:lineRule="auto"/>
              <w:jc w:val="left"/>
            </w:pPr>
          </w:p>
        </w:tc>
        <w:tc>
          <w:tcPr>
            <w:tcW w:w="32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A565F">
            <w:pPr>
              <w:spacing w:before="0" w:after="0" w:line="259" w:lineRule="auto"/>
              <w:jc w:val="center"/>
            </w:pPr>
          </w:p>
        </w:tc>
      </w:tr>
    </w:tbl>
    <w:p w14:paraId="540B7392">
      <w:pPr>
        <w:spacing w:after="20"/>
      </w:pPr>
    </w:p>
    <w:sectPr>
      <w:headerReference r:id="rId5" w:type="default"/>
      <w:footerReference r:id="rId6" w:type="default"/>
      <w:pgSz w:w="12240" w:h="15840"/>
      <w:pgMar w:top="1440" w:right="1440" w:bottom="1440" w:left="1440" w:header="708" w:footer="708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alibri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C88E6">
    <w:pPr>
      <w:pStyle w:val="24"/>
      <w:spacing w:before="40"/>
      <w:jc w:val="right"/>
    </w:pPr>
    <w:r>
      <w:rPr>
        <w:rFonts w:ascii="Calibri" w:hAnsi="Calibri" w:eastAsia="微软雅黑" w:cs="Calibri"/>
        <w:color w:val="65727E"/>
        <w:sz w:val="16"/>
      </w:rPr>
      <w:t xml:space="preserve">   Page </w:t>
    </w:r>
    <w:r>
      <w:rPr>
        <w:rFonts w:ascii="Calibri" w:hAnsi="Calibri" w:eastAsia="微软雅黑" w:cs="Calibri"/>
        <w:color w:val="65727E"/>
        <w:sz w:val="17"/>
      </w:rPr>
      <w:fldChar w:fldCharType="begin"/>
    </w:r>
    <w:r>
      <w:rPr>
        <w:rFonts w:ascii="Calibri" w:hAnsi="Calibri" w:eastAsia="微软雅黑" w:cs="Calibri"/>
        <w:color w:val="65727E"/>
        <w:sz w:val="17"/>
      </w:rPr>
      <w:instrText xml:space="preserve">PAGE</w:instrText>
    </w:r>
    <w:r>
      <w:rPr>
        <w:rFonts w:ascii="Calibri" w:hAnsi="Calibri" w:eastAsia="微软雅黑" w:cs="Calibri"/>
        <w:color w:val="65727E"/>
        <w:sz w:val="17"/>
      </w:rPr>
      <w:fldChar w:fldCharType="separate"/>
    </w:r>
    <w:r>
      <w:rPr>
        <w:rFonts w:ascii="Calibri" w:hAnsi="Calibri" w:eastAsia="微软雅黑" w:cs="Calibri"/>
        <w:color w:val="65727E"/>
        <w:sz w:val="17"/>
      </w:rPr>
      <w:t>1</w:t>
    </w:r>
    <w:r>
      <w:rPr>
        <w:rFonts w:ascii="Calibri" w:hAnsi="Calibri" w:eastAsia="微软雅黑" w:cs="Calibri"/>
        <w:color w:val="65727E"/>
        <w:sz w:val="17"/>
      </w:rPr>
      <w:fldChar w:fldCharType="end"/>
    </w:r>
    <w:r>
      <w:rPr>
        <w:rFonts w:ascii="Calibri" w:hAnsi="Calibri" w:eastAsia="微软雅黑" w:cs="Calibri"/>
        <w:color w:val="65727E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D413A">
    <w:pPr>
      <w:pStyle w:val="25"/>
      <w:pBdr>
        <w:bottom w:val="single" w:color="D7E0E8" w:sz="4" w:space="4"/>
      </w:pBdr>
      <w:spacing w:after="60"/>
      <w:jc w:val="left"/>
    </w:pPr>
    <w:r>
      <w:rPr>
        <w:rFonts w:ascii="Calibri" w:hAnsi="Calibri" w:eastAsia="微软雅黑" w:cs="Calibri"/>
        <w:b/>
        <w:color w:val="65727E"/>
        <w:sz w:val="16"/>
      </w:rPr>
      <w:t>90-Day Pilot Validation Scorecard</w:t>
    </w:r>
    <w:r>
      <w:rPr>
        <w:rFonts w:ascii="Calibri" w:hAnsi="Calibri" w:eastAsia="微软雅黑" w:cs="Calibri"/>
        <w:color w:val="65727E"/>
        <w:sz w:val="16"/>
      </w:rPr>
      <w:t xml:space="preserve">    |    Bajie Charging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0B745D"/>
    <w:rsid w:val="12593528"/>
    <w:rsid w:val="1C827473"/>
    <w:rsid w:val="2639406F"/>
    <w:rsid w:val="29E277A3"/>
    <w:rsid w:val="2AC31382"/>
    <w:rsid w:val="354D6418"/>
    <w:rsid w:val="37C950DE"/>
    <w:rsid w:val="3D1141CF"/>
    <w:rsid w:val="3D7308FE"/>
    <w:rsid w:val="40D23C76"/>
    <w:rsid w:val="47460F19"/>
    <w:rsid w:val="5BB67427"/>
    <w:rsid w:val="5BC00E43"/>
    <w:rsid w:val="5CD34BA6"/>
    <w:rsid w:val="600357A2"/>
    <w:rsid w:val="67AD28A5"/>
    <w:rsid w:val="680F3C44"/>
    <w:rsid w:val="6D98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20" w:line="300" w:lineRule="auto"/>
    </w:pPr>
    <w:rPr>
      <w:rFonts w:ascii="Calibri" w:hAnsi="Calibri" w:eastAsia="微软雅黑" w:cs="Calibri"/>
      <w:color w:val="202B35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pageBreakBefore w:val="0"/>
      <w:spacing w:before="360" w:after="200" w:line="259" w:lineRule="auto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pageBreakBefore w:val="0"/>
      <w:spacing w:before="280" w:after="140" w:line="259" w:lineRule="auto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pageBreakBefore w:val="0"/>
      <w:spacing w:before="200" w:after="100" w:line="259" w:lineRule="auto"/>
      <w:outlineLvl w:val="2"/>
    </w:pPr>
    <w:rPr>
      <w:rFonts w:asciiTheme="majorHAnsi" w:hAnsiTheme="majorHAnsi" w:eastAsiaTheme="majorEastAsia" w:cstheme="majorBidi"/>
      <w:b/>
      <w:bCs/>
      <w:color w:val="1F4D78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pageBreakBefore w:val="0"/>
      <w:spacing w:before="160" w:after="80" w:line="259" w:lineRule="auto"/>
      <w:outlineLvl w:val="3"/>
    </w:pPr>
    <w:rPr>
      <w:rFonts w:asciiTheme="majorHAnsi" w:hAnsiTheme="majorHAnsi" w:eastAsiaTheme="majorEastAsia" w:cstheme="majorBidi"/>
      <w:b/>
      <w:bCs/>
      <w:iCs/>
      <w:color w:val="1F4D78"/>
      <w:sz w:val="22"/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ZH Body"/>
    <w:basedOn w:val="1"/>
    <w:qFormat/>
    <w:uiPriority w:val="0"/>
    <w:pPr>
      <w:spacing w:after="140" w:line="288" w:lineRule="auto"/>
      <w:ind w:left="259"/>
    </w:pPr>
    <w:rPr>
      <w:rFonts w:ascii="Calibri" w:hAnsi="Calibri" w:eastAsia="微软雅黑" w:cs="Calibri"/>
      <w:color w:val="3D5366"/>
      <w:sz w:val="21"/>
    </w:rPr>
  </w:style>
  <w:style w:type="paragraph" w:customStyle="1" w:styleId="165">
    <w:name w:val="Quote EN"/>
    <w:basedOn w:val="1"/>
    <w:qFormat/>
    <w:uiPriority w:val="0"/>
    <w:pPr>
      <w:spacing w:before="60" w:after="120" w:line="283" w:lineRule="auto"/>
      <w:ind w:left="403" w:right="216"/>
    </w:pPr>
    <w:rPr>
      <w:rFonts w:ascii="Calibri" w:hAnsi="Calibri" w:eastAsia="微软雅黑" w:cs="Calibri"/>
      <w:i/>
      <w:color w:val="334155"/>
      <w:sz w:val="21"/>
    </w:rPr>
  </w:style>
  <w:style w:type="paragraph" w:customStyle="1" w:styleId="166">
    <w:name w:val="Quote ZH"/>
    <w:basedOn w:val="1"/>
    <w:qFormat/>
    <w:uiPriority w:val="0"/>
    <w:pPr>
      <w:spacing w:before="60" w:after="120" w:line="283" w:lineRule="auto"/>
      <w:ind w:left="403" w:right="216"/>
    </w:pPr>
    <w:rPr>
      <w:rFonts w:ascii="Calibri" w:hAnsi="Calibri" w:eastAsia="微软雅黑" w:cs="Calibri"/>
      <w:color w:val="3D5366"/>
      <w:sz w:val="20"/>
    </w:rPr>
  </w:style>
  <w:style w:type="paragraph" w:customStyle="1" w:styleId="167">
    <w:name w:val="Contents Entry"/>
    <w:basedOn w:val="1"/>
    <w:qFormat/>
    <w:uiPriority w:val="0"/>
    <w:pPr>
      <w:spacing w:after="60" w:line="264" w:lineRule="auto"/>
      <w:ind w:left="317"/>
    </w:pPr>
    <w:rPr>
      <w:rFonts w:ascii="Calibri" w:hAnsi="Calibri" w:eastAsia="微软雅黑" w:cs="Calibri"/>
      <w:color w:val="202B35"/>
      <w:sz w:val="20"/>
    </w:rPr>
  </w:style>
  <w:style w:type="paragraph" w:customStyle="1" w:styleId="168">
    <w:name w:val="Small Metadata"/>
    <w:basedOn w:val="1"/>
    <w:qFormat/>
    <w:uiPriority w:val="0"/>
    <w:rPr>
      <w:rFonts w:ascii="Calibri" w:hAnsi="Calibri" w:eastAsia="微软雅黑" w:cs="Calibri"/>
      <w:color w:val="65727E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332</Words>
  <Characters>1913</Characters>
  <Lines>0</Lines>
  <Paragraphs>0</Paragraphs>
  <TotalTime>7</TotalTime>
  <ScaleCrop>false</ScaleCrop>
  <LinksUpToDate>false</LinksUpToDate>
  <CharactersWithSpaces>2252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2026-07-20T00:00:00Z</dcterms:created>
  <dc:creator>Bajie Charging</dc:creator>
  <cp:keywords>pilot validation, scorecard, bilingual, evidence</cp:keywords>
  <cp:lastModifiedBy>局外人</cp:lastModifiedBy>
  <dcterms:modified xsi:type="dcterms:W3CDTF">2026-07-27T08:38:02Z</dcterms:modified>
  <dc:subject>Printable bilingual pilot evidence workbook</dc:subject>
  <dc:title>2026 Shared Power Bank 90-Day Pilot Validation Scorecard — EN/ZH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eyJoZGlkIjoiN2I3OWI2MzllZDI5MzAwYzJkOGZlNTUzMzcyM2Q1Y2YiLCJ1c2VySWQiOiIyOTU0NzMwMzgifQ==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AB5BABB58CE24948BBBF4D48E11A7C26_12</vt:lpwstr>
  </property>
</Properties>
</file>